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822144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822144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1.6pt;width:227.3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28513C" w:rsidP="0028513C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lang w:bidi="ar-MA"/>
                    </w:rPr>
                  </w:pPr>
                  <w:r w:rsidRPr="0028513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الحفاظ</w:t>
                  </w:r>
                  <w:r w:rsidRPr="0028513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8513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على</w:t>
                  </w:r>
                  <w:r w:rsidRPr="0028513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8513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التراث</w:t>
                  </w:r>
                  <w:r w:rsidRPr="0028513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8513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وتطويره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BC54E6" w:rsidRDefault="00B2530C" w:rsidP="002511C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8513C" w:rsidRPr="00BC54E6" w:rsidRDefault="0028513C" w:rsidP="0028513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يعكس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المستوى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الحضاري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للشعوب،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يفرض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ضرورة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وتطويره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8513C" w:rsidRPr="00BC54E6" w:rsidRDefault="0028513C" w:rsidP="0028513C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28513C" w:rsidRPr="00BC54E6" w:rsidRDefault="0028513C" w:rsidP="0028513C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سبيل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وتطويره؟</w:t>
      </w:r>
    </w:p>
    <w:p w:rsidR="0028513C" w:rsidRPr="00BC54E6" w:rsidRDefault="0028513C" w:rsidP="0028513C">
      <w:pPr>
        <w:pStyle w:val="Paragraphedeliste"/>
        <w:numPr>
          <w:ilvl w:val="0"/>
          <w:numId w:val="1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معرض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وإعداد</w:t>
      </w:r>
      <w:proofErr w:type="gramEnd"/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دليل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الآثار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بجهتي؟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28513C" w:rsidRPr="00BC54E6" w:rsidRDefault="0028513C" w:rsidP="0028513C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أنواع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وضرورة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الحفاظ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عليه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28513C" w:rsidRPr="00BC54E6" w:rsidRDefault="0028513C" w:rsidP="0028513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A5427" w:rsidRPr="00BC54E6" w:rsidRDefault="0028513C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يشمل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خلفته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السابقة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الميادين،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مسموع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روايات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شفوية،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وحكايات،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وفنون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غنائية .</w:t>
      </w:r>
      <w:proofErr w:type="gramEnd"/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..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مكتوب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كالوثائق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والمخطوطات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المبني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كالآثار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والبناءات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والزخارف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والنقوش ...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وهناك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كأدوات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الزينة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والحلي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والملابس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وغيرها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8513C" w:rsidRPr="00BC54E6" w:rsidRDefault="0028513C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أهمية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الحفاظ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وتطويره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28513C" w:rsidRPr="00BC54E6" w:rsidRDefault="0028513C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تتحمل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المسؤولية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الحفاظ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وتطويره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وزارة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ومديرياتها</w:t>
      </w:r>
      <w:r w:rsidR="001A5427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بتحفيز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الثقافية،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وتشجيع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الإبداع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والفكر</w:t>
      </w:r>
      <w:r w:rsidR="001A5427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والمحافظة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أصالته</w:t>
      </w:r>
      <w:r w:rsidR="001A5427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مواكبته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لمتطلبات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8513C" w:rsidRPr="00BC54E6" w:rsidRDefault="0028513C" w:rsidP="001A5427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خطوات</w:t>
      </w:r>
      <w:proofErr w:type="gramEnd"/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تنظيم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معرض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روافد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الفني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8513C" w:rsidRPr="00BC54E6" w:rsidRDefault="0028513C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تتنوع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روافد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الفني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1A5427" w:rsidRPr="00BC54E6" w:rsidRDefault="001A5427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يتميز التراث المغربي بتنوع روافده، فهو تراث </w:t>
      </w:r>
      <w:proofErr w:type="spellStart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أمازيغي</w:t>
      </w:r>
      <w:proofErr w:type="spellEnd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قديم تأثر بالاحتلال الفينيقي </w:t>
      </w:r>
      <w:proofErr w:type="spellStart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والقرطاجي</w:t>
      </w:r>
      <w:proofErr w:type="spellEnd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والروماني، ثم امتزج عبر العصور بالتراث العربي الإسلامي منذ نهاية القرن السابع، وبتراث الزنوج الأفارقة، وبالتراث الأندلسي بعد نهاية القرن السادس عشر، كما تأثر بالحضارة الأوربية خلال فترات الاح</w:t>
      </w:r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>تلال الفرنسي والإسباني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وقد أحدث المغرب وزارة الثقافة للحفاظ على هذا التراث وتطويره من خلال مديرية التراث ومديرية الفنون</w:t>
      </w:r>
      <w:r w:rsidR="0028513C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8513C" w:rsidRPr="00BC54E6" w:rsidRDefault="0028513C" w:rsidP="001A5427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التدرب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تنظيم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معرض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حول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تنوع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التراث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</w:t>
      </w:r>
      <w:r w:rsidRPr="00BC54E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1A5427" w:rsidRPr="00BC54E6" w:rsidRDefault="001A5427" w:rsidP="001A5427">
      <w:pPr>
        <w:shd w:val="clear" w:color="auto" w:fill="FFFFFF"/>
        <w:bidi/>
        <w:spacing w:after="0"/>
        <w:ind w:firstLine="708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لتنظيم معرض حول تنوع روافد التراث المغربي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أتبع الخطوات التالية:</w:t>
      </w:r>
    </w:p>
    <w:p w:rsidR="001A5427" w:rsidRPr="00BC54E6" w:rsidRDefault="001A5427" w:rsidP="009E3EED">
      <w:pPr>
        <w:pStyle w:val="Paragraphedeliste"/>
        <w:numPr>
          <w:ilvl w:val="0"/>
          <w:numId w:val="17"/>
        </w:numPr>
        <w:shd w:val="clear" w:color="auto" w:fill="FFFFFF"/>
        <w:bidi/>
        <w:spacing w:after="0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 w:bidi="ar-MA"/>
        </w:rPr>
      </w:pPr>
      <w:proofErr w:type="gramStart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مرحلة</w:t>
      </w:r>
      <w:proofErr w:type="gramEnd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الإعداد: تحديد مكان وزمان المعرض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لجنة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للإشراف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المعرض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 w:bidi="ar-MA"/>
        </w:rPr>
        <w:t>، و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المهام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التلاميذ، والإعلان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المعرض، ثم فتح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باب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المساهمة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المعرض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التلاميذ.</w:t>
      </w:r>
    </w:p>
    <w:p w:rsidR="001A5427" w:rsidRPr="00BC54E6" w:rsidRDefault="001A5427" w:rsidP="009E3EED">
      <w:pPr>
        <w:pStyle w:val="Paragraphedeliste"/>
        <w:numPr>
          <w:ilvl w:val="0"/>
          <w:numId w:val="17"/>
        </w:numPr>
        <w:shd w:val="clear" w:color="auto" w:fill="FFFFFF"/>
        <w:bidi/>
        <w:spacing w:after="0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مرحلة العرض: جمع ما يمكن من مواد تراثية مادية وتصنيفها إلى مخطوطات</w:t>
      </w:r>
      <w:r w:rsidR="009E3EED"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وصور</w:t>
      </w:r>
      <w:r w:rsidR="009E3EED"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وقطع نقدية</w:t>
      </w:r>
      <w:r w:rsidR="009E3EED"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وأواني وملابس، أو مواد معنوية كعادات ورقصات وأهازيج يتم عرضها بواسطة أشرطة سمعية أو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وأقراص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مدمجة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للفنون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،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اختيار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لائق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بالمؤسسة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لعرض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رواق</w:t>
      </w:r>
      <w:r w:rsidR="009E3EED"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9E3EED"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وينتهي المعرض بتسجيل </w:t>
      </w:r>
      <w:proofErr w:type="spellStart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ارتسامات</w:t>
      </w:r>
      <w:proofErr w:type="spellEnd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الزوار وكتابة تقرير.</w:t>
      </w:r>
    </w:p>
    <w:p w:rsidR="0028513C" w:rsidRPr="00BC54E6" w:rsidRDefault="0028513C" w:rsidP="009E3EED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التدرب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إعداد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دليل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الآثار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بالجهة</w:t>
      </w:r>
      <w:r w:rsidRPr="00BC54E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BC54E6" w:rsidRPr="00BC54E6" w:rsidRDefault="00BC54E6" w:rsidP="00BC54E6">
      <w:pPr>
        <w:shd w:val="clear" w:color="auto" w:fill="FFFFFF"/>
        <w:bidi/>
        <w:spacing w:after="0"/>
        <w:ind w:firstLine="708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لإعداد دليل حول الآثار المتواجدة بجهتي أتبع الخطوات التالية:</w:t>
      </w:r>
    </w:p>
    <w:p w:rsidR="00BC54E6" w:rsidRPr="00BC54E6" w:rsidRDefault="00BC54E6" w:rsidP="00BC54E6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جمع المعطيات: استكشاف المواقع الأثرية بالجهة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وزيارة المتاحف للتعرف على البقايا المادية.</w:t>
      </w:r>
    </w:p>
    <w:p w:rsidR="00BC54E6" w:rsidRPr="00BC54E6" w:rsidRDefault="00BC54E6" w:rsidP="00BC54E6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تصنيف المعالم الأثرية: تصنيف المآثر حسب نوعها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وتاريخها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وأهدافها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 xml:space="preserve"> (عسكرية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>دينية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..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)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،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ووصف مظهرها وزخارفها.</w:t>
      </w:r>
    </w:p>
    <w:p w:rsidR="00BC54E6" w:rsidRPr="00BC54E6" w:rsidRDefault="00BC54E6" w:rsidP="00BC54E6">
      <w:pPr>
        <w:pStyle w:val="Paragraphedeliste"/>
        <w:numPr>
          <w:ilvl w:val="0"/>
          <w:numId w:val="19"/>
        </w:numPr>
        <w:shd w:val="clear" w:color="auto" w:fill="FFFFFF"/>
        <w:bidi/>
        <w:spacing w:after="0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lastRenderedPageBreak/>
        <w:t xml:space="preserve">إنجاز الدليل: تدوين المعطيات التاريخية </w:t>
      </w:r>
      <w:proofErr w:type="spellStart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مرفوقة</w:t>
      </w:r>
      <w:proofErr w:type="spellEnd"/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 xml:space="preserve"> بالصور والرسوم، ووضع خريطة </w:t>
      </w:r>
      <w:proofErr w:type="spellStart"/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جهوية</w:t>
      </w:r>
      <w:proofErr w:type="spellEnd"/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لتوطين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المآثر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التاريخية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والعمرانية، المساهمة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بالدليل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مسابقة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للتعريف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بالآثار</w:t>
      </w:r>
      <w:r w:rsidRPr="00BC54E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54E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بالجهة</w:t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.</w:t>
      </w:r>
    </w:p>
    <w:p w:rsidR="00BC54E6" w:rsidRPr="00BC54E6" w:rsidRDefault="00BC54E6" w:rsidP="00BC54E6">
      <w:pPr>
        <w:shd w:val="clear" w:color="auto" w:fill="FFFFFF"/>
        <w:bidi/>
        <w:spacing w:after="0"/>
        <w:jc w:val="both"/>
        <w:rPr>
          <w:rFonts w:ascii="Times New Roman" w:eastAsia="Calibri" w:hAnsi="Times New Roman" w:cs="Traditional Arabic"/>
          <w:b/>
          <w:bCs/>
          <w:color w:val="0070C0"/>
          <w:sz w:val="28"/>
          <w:szCs w:val="28"/>
          <w:rtl/>
          <w:lang w:eastAsia="fr-FR"/>
        </w:rPr>
      </w:pPr>
      <w:proofErr w:type="gramStart"/>
      <w:r w:rsidRPr="00BC54E6">
        <w:rPr>
          <w:rFonts w:ascii="Times New Roman" w:eastAsia="Calibri" w:hAnsi="Times New Roman" w:cs="Traditional Arabic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BC54E6">
        <w:rPr>
          <w:rFonts w:ascii="Times New Roman" w:eastAsia="Calibri" w:hAnsi="Times New Roman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BC54E6" w:rsidRPr="00BC54E6" w:rsidRDefault="00BC54E6" w:rsidP="00BC54E6">
      <w:pPr>
        <w:shd w:val="clear" w:color="auto" w:fill="FFFFFF"/>
        <w:bidi/>
        <w:spacing w:after="0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 w:bidi="ar-MA"/>
        </w:rPr>
      </w:pPr>
      <w:r w:rsidRPr="00BC54E6">
        <w:rPr>
          <w:rFonts w:ascii="Times New Roman" w:eastAsia="Calibri" w:hAnsi="Times New Roman" w:cs="Traditional Arabic" w:hint="cs"/>
          <w:b/>
          <w:bCs/>
          <w:sz w:val="28"/>
          <w:szCs w:val="28"/>
          <w:rtl/>
          <w:lang w:eastAsia="fr-FR"/>
        </w:rPr>
        <w:tab/>
      </w:r>
      <w:r w:rsidRPr="00BC54E6">
        <w:rPr>
          <w:rFonts w:ascii="Times New Roman" w:eastAsia="Calibri" w:hAnsi="Times New Roman" w:cs="Traditional Arabic"/>
          <w:b/>
          <w:bCs/>
          <w:sz w:val="28"/>
          <w:szCs w:val="28"/>
          <w:rtl/>
          <w:lang w:eastAsia="fr-FR"/>
        </w:rPr>
        <w:t>يمكن تعميق المعرفة بالهوية الوطنية وتأصيل الاعتزاز بها عن طريق التعريف بأنواع وروافد التراث الحضاري بإعداد معارض وتن</w:t>
      </w:r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 xml:space="preserve">ظيم مسابقات محلية </w:t>
      </w:r>
      <w:proofErr w:type="spellStart"/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>وجهوية</w:t>
      </w:r>
      <w:proofErr w:type="spellEnd"/>
      <w:r w:rsidRPr="00BC54E6">
        <w:rPr>
          <w:rFonts w:ascii="Times New Roman" w:hAnsi="Times New Roman" w:cs="Traditional Arabic"/>
          <w:b/>
          <w:bCs/>
          <w:sz w:val="28"/>
          <w:szCs w:val="28"/>
          <w:rtl/>
          <w:lang w:eastAsia="fr-FR"/>
        </w:rPr>
        <w:t xml:space="preserve"> ووطنية</w:t>
      </w:r>
      <w:r w:rsidRPr="00BC54E6">
        <w:rPr>
          <w:rFonts w:ascii="Times New Roman" w:hAnsi="Times New Roman" w:cs="Traditional Arabic" w:hint="cs"/>
          <w:b/>
          <w:bCs/>
          <w:sz w:val="28"/>
          <w:szCs w:val="28"/>
          <w:rtl/>
          <w:lang w:eastAsia="fr-FR"/>
        </w:rPr>
        <w:t>.</w:t>
      </w:r>
    </w:p>
    <w:p w:rsidR="00141F42" w:rsidRPr="00BC54E6" w:rsidRDefault="00141F42" w:rsidP="0028513C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</w:p>
    <w:sectPr w:rsidR="00141F42" w:rsidRPr="00BC54E6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5pt;height:11.55pt" o:bullet="t">
        <v:imagedata r:id="rId1" o:title="mso6F"/>
      </v:shape>
    </w:pict>
  </w:numPicBullet>
  <w:abstractNum w:abstractNumId="0">
    <w:nsid w:val="01704E19"/>
    <w:multiLevelType w:val="hybridMultilevel"/>
    <w:tmpl w:val="BA4C8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B54"/>
    <w:multiLevelType w:val="hybridMultilevel"/>
    <w:tmpl w:val="D666B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FC1"/>
    <w:multiLevelType w:val="hybridMultilevel"/>
    <w:tmpl w:val="71A6843A"/>
    <w:lvl w:ilvl="0" w:tplc="25B26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67D6"/>
    <w:multiLevelType w:val="hybridMultilevel"/>
    <w:tmpl w:val="8056C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6EF2"/>
    <w:multiLevelType w:val="hybridMultilevel"/>
    <w:tmpl w:val="15968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78AB"/>
    <w:multiLevelType w:val="hybridMultilevel"/>
    <w:tmpl w:val="19A2B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7C98"/>
    <w:multiLevelType w:val="hybridMultilevel"/>
    <w:tmpl w:val="37E22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854BA"/>
    <w:multiLevelType w:val="hybridMultilevel"/>
    <w:tmpl w:val="5B30B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718D"/>
    <w:multiLevelType w:val="hybridMultilevel"/>
    <w:tmpl w:val="1D768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17A16"/>
    <w:multiLevelType w:val="hybridMultilevel"/>
    <w:tmpl w:val="0714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700D"/>
    <w:multiLevelType w:val="hybridMultilevel"/>
    <w:tmpl w:val="00F65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D3A51"/>
    <w:multiLevelType w:val="hybridMultilevel"/>
    <w:tmpl w:val="FE768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F45E4"/>
    <w:multiLevelType w:val="hybridMultilevel"/>
    <w:tmpl w:val="FEF0C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3DE7"/>
    <w:multiLevelType w:val="hybridMultilevel"/>
    <w:tmpl w:val="3398A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F20C7"/>
    <w:multiLevelType w:val="hybridMultilevel"/>
    <w:tmpl w:val="358E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84975"/>
    <w:multiLevelType w:val="hybridMultilevel"/>
    <w:tmpl w:val="9B92C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F51DD"/>
    <w:multiLevelType w:val="hybridMultilevel"/>
    <w:tmpl w:val="A28A3498"/>
    <w:lvl w:ilvl="0" w:tplc="040C8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10BE6"/>
    <w:multiLevelType w:val="hybridMultilevel"/>
    <w:tmpl w:val="4954A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17B4A"/>
    <w:multiLevelType w:val="hybridMultilevel"/>
    <w:tmpl w:val="20C21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03F85"/>
    <w:rsid w:val="0011180D"/>
    <w:rsid w:val="00112B79"/>
    <w:rsid w:val="0011396C"/>
    <w:rsid w:val="001246D7"/>
    <w:rsid w:val="001252DF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62556"/>
    <w:rsid w:val="0026292D"/>
    <w:rsid w:val="00276341"/>
    <w:rsid w:val="002848A9"/>
    <w:rsid w:val="0028513C"/>
    <w:rsid w:val="00285969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3D70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2EC9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601757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2144"/>
    <w:rsid w:val="008224BA"/>
    <w:rsid w:val="0082327D"/>
    <w:rsid w:val="008246CB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4AE7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74B5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3772"/>
    <w:rsid w:val="00AA48A1"/>
    <w:rsid w:val="00AA5792"/>
    <w:rsid w:val="00AA652C"/>
    <w:rsid w:val="00AA728B"/>
    <w:rsid w:val="00AB4E20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42DD"/>
    <w:rsid w:val="00BB0D62"/>
    <w:rsid w:val="00BB22AC"/>
    <w:rsid w:val="00BB36F3"/>
    <w:rsid w:val="00BC4C9B"/>
    <w:rsid w:val="00BC54E6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1C0D"/>
    <w:rsid w:val="00E72E26"/>
    <w:rsid w:val="00E7308B"/>
    <w:rsid w:val="00E80885"/>
    <w:rsid w:val="00E80AE7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07918"/>
    <w:rsid w:val="00F1190D"/>
    <w:rsid w:val="00F21224"/>
    <w:rsid w:val="00F2214F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80669"/>
    <w:rsid w:val="00F94220"/>
    <w:rsid w:val="00F96A6C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637-8AC0-46BC-804C-4957AC0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9</cp:revision>
  <dcterms:created xsi:type="dcterms:W3CDTF">2014-07-24T00:26:00Z</dcterms:created>
  <dcterms:modified xsi:type="dcterms:W3CDTF">2014-07-24T14:15:00Z</dcterms:modified>
</cp:coreProperties>
</file>