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906" w:tblpY="1849"/>
        <w:tblW w:w="15134" w:type="dxa"/>
        <w:tblLook w:val="04A0" w:firstRow="1" w:lastRow="0" w:firstColumn="1" w:lastColumn="0" w:noHBand="0" w:noVBand="1"/>
      </w:tblPr>
      <w:tblGrid>
        <w:gridCol w:w="4928"/>
        <w:gridCol w:w="5103"/>
        <w:gridCol w:w="5103"/>
      </w:tblGrid>
      <w:tr w:rsidR="00766620" w:rsidTr="00766620">
        <w:trPr>
          <w:trHeight w:val="1283"/>
        </w:trPr>
        <w:tc>
          <w:tcPr>
            <w:tcW w:w="49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766620" w:rsidRDefault="00766620" w:rsidP="00766620">
            <w:r w:rsidRPr="00C4687B">
              <w:rPr>
                <w:rFonts w:ascii="Dubai Medium" w:hAnsi="Dubai Medium" w:cs="Dubai Medium"/>
                <w:b/>
                <w:bCs/>
              </w:rPr>
              <w:t>-Le Professeure </w:t>
            </w:r>
            <w:proofErr w:type="gramStart"/>
            <w:r w:rsidRPr="00C4687B">
              <w:rPr>
                <w:rFonts w:ascii="Dubai Medium" w:hAnsi="Dubai Medium" w:cs="Dubai Medium"/>
                <w:b/>
                <w:bCs/>
              </w:rPr>
              <w:t>:</w:t>
            </w:r>
            <w:r>
              <w:t xml:space="preserve">  </w:t>
            </w:r>
            <w:r w:rsidRPr="00C4687B">
              <w:rPr>
                <w:b/>
                <w:bCs/>
              </w:rPr>
              <w:t>NACIRI</w:t>
            </w:r>
            <w:proofErr w:type="gramEnd"/>
            <w:r w:rsidRPr="00C4687B">
              <w:rPr>
                <w:b/>
                <w:bCs/>
              </w:rPr>
              <w:t xml:space="preserve"> </w:t>
            </w:r>
            <w:proofErr w:type="spellStart"/>
            <w:r w:rsidRPr="00C4687B">
              <w:rPr>
                <w:b/>
                <w:bCs/>
              </w:rPr>
              <w:t>Issam</w:t>
            </w:r>
            <w:r>
              <w:rPr>
                <w:b/>
                <w:bCs/>
              </w:rPr>
              <w:t>e</w:t>
            </w:r>
            <w:proofErr w:type="spellEnd"/>
          </w:p>
          <w:p w:rsidR="00766620" w:rsidRPr="00C4687B" w:rsidRDefault="00766620" w:rsidP="00766620">
            <w:pPr>
              <w:rPr>
                <w:b/>
                <w:bCs/>
              </w:rPr>
            </w:pPr>
            <w:r w:rsidRPr="00C4687B">
              <w:rPr>
                <w:rFonts w:ascii="Dubai Medium" w:hAnsi="Dubai Medium" w:cs="Dubai Medium"/>
                <w:b/>
                <w:bCs/>
              </w:rPr>
              <w:t>-La discipline :</w:t>
            </w:r>
            <w:r>
              <w:t xml:space="preserve"> </w:t>
            </w:r>
            <w:r w:rsidRPr="00C4687B">
              <w:rPr>
                <w:b/>
                <w:bCs/>
              </w:rPr>
              <w:t>Sciences de la vie et de la terre</w:t>
            </w:r>
          </w:p>
          <w:p w:rsidR="00766620" w:rsidRDefault="00766620" w:rsidP="00766620">
            <w:r>
              <w:t>-</w:t>
            </w:r>
            <w:r w:rsidRPr="00C4687B">
              <w:rPr>
                <w:rFonts w:ascii="Dubai Medium" w:hAnsi="Dubai Medium" w:cs="Dubai Medium"/>
                <w:b/>
                <w:bCs/>
              </w:rPr>
              <w:t>Le niveau :</w:t>
            </w:r>
            <w:r>
              <w:t xml:space="preserve"> </w:t>
            </w:r>
            <w:r w:rsidRPr="00C4687B">
              <w:rPr>
                <w:b/>
                <w:bCs/>
              </w:rPr>
              <w:t>2éme Année du cycle secondaire collégial</w:t>
            </w:r>
            <w:r>
              <w:t xml:space="preserve"> </w:t>
            </w:r>
          </w:p>
          <w:p w:rsidR="00766620" w:rsidRDefault="00766620" w:rsidP="00766620">
            <w:r w:rsidRPr="001E24AF">
              <w:rPr>
                <w:rFonts w:ascii="Dubai Medium" w:hAnsi="Dubai Medium" w:cs="Dubai Medium"/>
                <w:b/>
                <w:bCs/>
              </w:rPr>
              <w:t>-Année scolaire</w:t>
            </w:r>
            <w:r>
              <w:t xml:space="preserve"> : </w:t>
            </w:r>
            <w:r w:rsidRPr="001E24AF">
              <w:rPr>
                <w:b/>
                <w:bCs/>
              </w:rPr>
              <w:t>2019-2020</w:t>
            </w:r>
            <w:r>
              <w:t xml:space="preserve"> </w:t>
            </w:r>
          </w:p>
        </w:tc>
        <w:tc>
          <w:tcPr>
            <w:tcW w:w="510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66620" w:rsidRPr="00C4687B" w:rsidRDefault="00766620" w:rsidP="00766620">
            <w:pPr>
              <w:jc w:val="center"/>
              <w:rPr>
                <w:rFonts w:ascii="Algerian" w:hAnsi="Algerian"/>
                <w:sz w:val="28"/>
                <w:szCs w:val="28"/>
              </w:rPr>
            </w:pPr>
            <w:r w:rsidRPr="00C4687B">
              <w:rPr>
                <w:rFonts w:ascii="Algerian" w:hAnsi="Algerian"/>
                <w:sz w:val="28"/>
                <w:szCs w:val="28"/>
              </w:rPr>
              <w:t>LES PHENOMENES GEOLOGIQUE INTERNE</w:t>
            </w:r>
          </w:p>
          <w:p w:rsidR="00766620" w:rsidRDefault="00766620" w:rsidP="00766620">
            <w:pPr>
              <w:jc w:val="center"/>
            </w:pPr>
          </w:p>
          <w:p w:rsidR="00766620" w:rsidRPr="00C4687B" w:rsidRDefault="00766620" w:rsidP="00766620">
            <w:pPr>
              <w:jc w:val="center"/>
              <w:rPr>
                <w:rFonts w:asciiTheme="minorBidi" w:hAnsiTheme="minorBidi"/>
                <w:b/>
                <w:bCs/>
              </w:rPr>
            </w:pPr>
            <w:r w:rsidRPr="00C4687B">
              <w:rPr>
                <w:rFonts w:asciiTheme="minorBidi" w:hAnsiTheme="minorBidi"/>
                <w:b/>
                <w:bCs/>
              </w:rPr>
              <w:t>La théorie de la tectonique des plaques</w:t>
            </w:r>
          </w:p>
        </w:tc>
        <w:tc>
          <w:tcPr>
            <w:tcW w:w="510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766620" w:rsidRDefault="00766620" w:rsidP="00766620">
            <w:pPr>
              <w:rPr>
                <w:rFonts w:ascii="Dubai Medium" w:hAnsi="Dubai Medium" w:cs="Dubai Medium"/>
                <w:b/>
                <w:bCs/>
              </w:rPr>
            </w:pPr>
          </w:p>
          <w:p w:rsidR="00766620" w:rsidRDefault="00766620" w:rsidP="00766620">
            <w:r w:rsidRPr="00C4687B">
              <w:rPr>
                <w:rFonts w:ascii="Dubai Medium" w:hAnsi="Dubai Medium" w:cs="Dubai Medium"/>
                <w:b/>
                <w:bCs/>
              </w:rPr>
              <w:t>-La direction Provincial :</w:t>
            </w:r>
            <w:r>
              <w:t xml:space="preserve"> </w:t>
            </w:r>
            <w:r w:rsidRPr="00C4687B">
              <w:rPr>
                <w:b/>
                <w:bCs/>
                <w:sz w:val="24"/>
                <w:szCs w:val="24"/>
              </w:rPr>
              <w:t xml:space="preserve">TINGHIR </w:t>
            </w:r>
          </w:p>
          <w:p w:rsidR="00766620" w:rsidRDefault="00766620" w:rsidP="00766620">
            <w:r w:rsidRPr="00C4687B">
              <w:rPr>
                <w:rFonts w:ascii="Dubai Medium" w:hAnsi="Dubai Medium" w:cs="Dubai Medium"/>
                <w:b/>
                <w:bCs/>
              </w:rPr>
              <w:t>-Etablissement :</w:t>
            </w:r>
            <w:r>
              <w:t xml:space="preserve"> </w:t>
            </w:r>
            <w:r>
              <w:rPr>
                <w:b/>
                <w:bCs/>
              </w:rPr>
              <w:t xml:space="preserve">Lycée Qualifiant </w:t>
            </w:r>
            <w:proofErr w:type="spellStart"/>
            <w:r>
              <w:rPr>
                <w:b/>
                <w:bCs/>
              </w:rPr>
              <w:t>Assou</w:t>
            </w:r>
            <w:proofErr w:type="spellEnd"/>
            <w:r>
              <w:rPr>
                <w:b/>
                <w:bCs/>
              </w:rPr>
              <w:t xml:space="preserve"> </w:t>
            </w:r>
            <w:proofErr w:type="spellStart"/>
            <w:r w:rsidRPr="000308B5">
              <w:rPr>
                <w:b/>
                <w:bCs/>
              </w:rPr>
              <w:t>Oubaslam</w:t>
            </w:r>
            <w:proofErr w:type="spellEnd"/>
          </w:p>
          <w:p w:rsidR="00766620" w:rsidRPr="000308B5" w:rsidRDefault="00766620" w:rsidP="00766620">
            <w:r w:rsidRPr="000308B5">
              <w:rPr>
                <w:rFonts w:ascii="Dubai Medium" w:hAnsi="Dubai Medium" w:cs="Dubai Medium"/>
                <w:b/>
                <w:bCs/>
              </w:rPr>
              <w:t xml:space="preserve">- </w:t>
            </w:r>
            <w:r>
              <w:rPr>
                <w:rFonts w:ascii="Dubai Medium" w:hAnsi="Dubai Medium" w:cs="Dubai Medium"/>
                <w:b/>
                <w:bCs/>
              </w:rPr>
              <w:t>V</w:t>
            </w:r>
            <w:r w:rsidRPr="000308B5">
              <w:rPr>
                <w:rFonts w:ascii="Dubai Medium" w:hAnsi="Dubai Medium" w:cs="Dubai Medium"/>
                <w:b/>
                <w:bCs/>
              </w:rPr>
              <w:t>olume horaire</w:t>
            </w:r>
            <w:r>
              <w:t xml:space="preserve"> : </w:t>
            </w:r>
            <w:r w:rsidRPr="000308B5">
              <w:rPr>
                <w:b/>
                <w:bCs/>
              </w:rPr>
              <w:t>03 heures</w:t>
            </w:r>
          </w:p>
        </w:tc>
      </w:tr>
    </w:tbl>
    <w:p w:rsidR="00766620" w:rsidRDefault="00766620" w:rsidP="00766620">
      <w:bookmarkStart w:id="0" w:name="_GoBack"/>
      <w:bookmarkEnd w:id="0"/>
      <w:r w:rsidRPr="00EF3C76">
        <w:rPr>
          <w:noProof/>
          <w:lang w:eastAsia="fr-FR"/>
        </w:rPr>
        <w:drawing>
          <wp:anchor distT="0" distB="0" distL="114300" distR="114300" simplePos="0" relativeHeight="251659264" behindDoc="1" locked="0" layoutInCell="1" allowOverlap="1" wp14:anchorId="531EF1C4" wp14:editId="652DC092">
            <wp:simplePos x="0" y="0"/>
            <wp:positionH relativeFrom="margin">
              <wp:posOffset>2755900</wp:posOffset>
            </wp:positionH>
            <wp:positionV relativeFrom="paragraph">
              <wp:posOffset>-146685</wp:posOffset>
            </wp:positionV>
            <wp:extent cx="3143250" cy="724535"/>
            <wp:effectExtent l="0" t="0" r="0" b="0"/>
            <wp:wrapTight wrapText="bothSides">
              <wp:wrapPolygon edited="0">
                <wp:start x="11520" y="0"/>
                <wp:lineTo x="1833" y="2272"/>
                <wp:lineTo x="0" y="3975"/>
                <wp:lineTo x="0" y="17606"/>
                <wp:lineTo x="10473" y="21013"/>
                <wp:lineTo x="13353" y="21013"/>
                <wp:lineTo x="21338" y="19309"/>
                <wp:lineTo x="21469" y="13062"/>
                <wp:lineTo x="21469" y="10223"/>
                <wp:lineTo x="20945" y="9087"/>
                <wp:lineTo x="21207" y="4543"/>
                <wp:lineTo x="20422" y="3408"/>
                <wp:lineTo x="12436" y="0"/>
                <wp:lineTo x="11520" y="0"/>
              </wp:wrapPolygon>
            </wp:wrapTight>
            <wp:docPr id="1" name="Image 1" descr="E:\New folder\logo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logo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6620" w:rsidRDefault="00766620" w:rsidP="00766620"/>
    <w:tbl>
      <w:tblPr>
        <w:tblStyle w:val="Grilledutableau"/>
        <w:tblW w:w="0" w:type="auto"/>
        <w:tblLook w:val="04A0" w:firstRow="1" w:lastRow="0" w:firstColumn="1" w:lastColumn="0" w:noHBand="0" w:noVBand="1"/>
      </w:tblPr>
      <w:tblGrid>
        <w:gridCol w:w="7071"/>
        <w:gridCol w:w="7071"/>
      </w:tblGrid>
      <w:tr w:rsidR="00766620" w:rsidTr="00910939">
        <w:trPr>
          <w:trHeight w:val="422"/>
        </w:trPr>
        <w:tc>
          <w:tcPr>
            <w:tcW w:w="1414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66620" w:rsidRPr="00D959FC" w:rsidRDefault="00766620" w:rsidP="00910939">
            <w:pPr>
              <w:jc w:val="center"/>
              <w:rPr>
                <w:b/>
                <w:bCs/>
                <w:sz w:val="24"/>
                <w:szCs w:val="24"/>
              </w:rPr>
            </w:pPr>
            <w:r w:rsidRPr="00D959FC">
              <w:rPr>
                <w:rFonts w:ascii="Segoe Print" w:hAnsi="Segoe Print"/>
                <w:b/>
                <w:bCs/>
                <w:sz w:val="24"/>
                <w:szCs w:val="24"/>
              </w:rPr>
              <w:t>Les compétences à développer</w:t>
            </w:r>
          </w:p>
        </w:tc>
      </w:tr>
      <w:tr w:rsidR="00766620" w:rsidTr="00910939">
        <w:trPr>
          <w:trHeight w:val="2682"/>
        </w:trPr>
        <w:tc>
          <w:tcPr>
            <w:tcW w:w="7071" w:type="dxa"/>
            <w:tcBorders>
              <w:top w:val="single" w:sz="12" w:space="0" w:color="auto"/>
              <w:left w:val="single" w:sz="12" w:space="0" w:color="auto"/>
              <w:bottom w:val="single" w:sz="12" w:space="0" w:color="auto"/>
              <w:right w:val="single" w:sz="12" w:space="0" w:color="auto"/>
            </w:tcBorders>
          </w:tcPr>
          <w:p w:rsidR="00766620" w:rsidRPr="00D959FC" w:rsidRDefault="00766620" w:rsidP="00910939">
            <w:pPr>
              <w:jc w:val="center"/>
              <w:rPr>
                <w:rFonts w:ascii="Segoe Print" w:hAnsi="Segoe Print"/>
                <w:b/>
                <w:bCs/>
                <w:sz w:val="28"/>
                <w:szCs w:val="28"/>
              </w:rPr>
            </w:pPr>
            <w:r w:rsidRPr="00D959FC">
              <w:rPr>
                <w:rFonts w:ascii="Segoe Print" w:hAnsi="Segoe Print"/>
                <w:b/>
                <w:bCs/>
                <w:sz w:val="28"/>
                <w:szCs w:val="28"/>
              </w:rPr>
              <w:t>Compétences méthodologiques</w:t>
            </w:r>
          </w:p>
          <w:p w:rsidR="00766620" w:rsidRPr="00D959FC" w:rsidRDefault="00766620" w:rsidP="00910939">
            <w:pPr>
              <w:jc w:val="center"/>
              <w:rPr>
                <w:b/>
                <w:bCs/>
                <w:sz w:val="20"/>
                <w:szCs w:val="20"/>
                <w:u w:val="single"/>
              </w:rPr>
            </w:pPr>
          </w:p>
          <w:p w:rsidR="00766620" w:rsidRPr="00D959FC" w:rsidRDefault="00766620" w:rsidP="00766620">
            <w:pPr>
              <w:pStyle w:val="Paragraphedeliste"/>
              <w:numPr>
                <w:ilvl w:val="0"/>
                <w:numId w:val="1"/>
              </w:numPr>
              <w:rPr>
                <w:b/>
                <w:bCs/>
                <w:sz w:val="20"/>
                <w:szCs w:val="20"/>
              </w:rPr>
            </w:pPr>
            <w:r w:rsidRPr="00D959FC">
              <w:rPr>
                <w:b/>
                <w:bCs/>
                <w:sz w:val="20"/>
                <w:szCs w:val="20"/>
              </w:rPr>
              <w:t>Proposer des modèles explicatifs capables de relier les observations actuelles (similitude complète entre les limites de certains continents, l’existence de mêmes fossiles animaux et végétaux sur les différents continents, l’existence des blocs rocheux de même âge et même type sur les différents continents, …) aux événements anciens (fragmentation de la Pangée en un certain nombre de continents, formation des océans, …).</w:t>
            </w:r>
          </w:p>
          <w:p w:rsidR="00766620" w:rsidRPr="009E7A5D" w:rsidRDefault="00766620" w:rsidP="00910939">
            <w:pPr>
              <w:pStyle w:val="Paragraphedeliste"/>
              <w:rPr>
                <w:b/>
                <w:bCs/>
              </w:rPr>
            </w:pPr>
          </w:p>
        </w:tc>
        <w:tc>
          <w:tcPr>
            <w:tcW w:w="7071" w:type="dxa"/>
            <w:tcBorders>
              <w:top w:val="single" w:sz="12" w:space="0" w:color="auto"/>
              <w:left w:val="single" w:sz="12" w:space="0" w:color="auto"/>
              <w:bottom w:val="single" w:sz="12" w:space="0" w:color="auto"/>
              <w:right w:val="single" w:sz="12" w:space="0" w:color="auto"/>
            </w:tcBorders>
          </w:tcPr>
          <w:p w:rsidR="00766620" w:rsidRPr="00D959FC" w:rsidRDefault="00766620" w:rsidP="00910939">
            <w:pPr>
              <w:jc w:val="center"/>
              <w:rPr>
                <w:rFonts w:ascii="Segoe Print" w:hAnsi="Segoe Print"/>
                <w:b/>
                <w:bCs/>
                <w:sz w:val="28"/>
                <w:szCs w:val="28"/>
              </w:rPr>
            </w:pPr>
            <w:r w:rsidRPr="00D959FC">
              <w:rPr>
                <w:rFonts w:ascii="Segoe Print" w:hAnsi="Segoe Print"/>
                <w:b/>
                <w:bCs/>
                <w:sz w:val="28"/>
                <w:szCs w:val="28"/>
              </w:rPr>
              <w:t>Compétences communicatives</w:t>
            </w:r>
          </w:p>
          <w:p w:rsidR="00766620" w:rsidRPr="009E7A5D" w:rsidRDefault="00766620" w:rsidP="00910939">
            <w:pPr>
              <w:jc w:val="center"/>
              <w:rPr>
                <w:b/>
                <w:bCs/>
                <w:sz w:val="28"/>
                <w:szCs w:val="28"/>
                <w:u w:val="single"/>
              </w:rPr>
            </w:pPr>
          </w:p>
          <w:p w:rsidR="00766620" w:rsidRPr="009E7A5D" w:rsidRDefault="00766620" w:rsidP="00766620">
            <w:pPr>
              <w:pStyle w:val="Paragraphedeliste"/>
              <w:numPr>
                <w:ilvl w:val="0"/>
                <w:numId w:val="1"/>
              </w:numPr>
              <w:rPr>
                <w:b/>
                <w:bCs/>
              </w:rPr>
            </w:pPr>
            <w:r w:rsidRPr="009E7A5D">
              <w:rPr>
                <w:b/>
                <w:bCs/>
              </w:rPr>
              <w:t>S’initier le discours scientifique : S’assurer d’une hypothèse en étudiant les arguments proposés (les arguments en faveur de la théorie de la tectonique des plaques).</w:t>
            </w:r>
          </w:p>
        </w:tc>
      </w:tr>
    </w:tbl>
    <w:p w:rsidR="00766620" w:rsidRDefault="00766620" w:rsidP="00766620"/>
    <w:tbl>
      <w:tblPr>
        <w:tblStyle w:val="Grilledutableau"/>
        <w:tblW w:w="0" w:type="auto"/>
        <w:tblLook w:val="04A0" w:firstRow="1" w:lastRow="0" w:firstColumn="1" w:lastColumn="0" w:noHBand="0" w:noVBand="1"/>
      </w:tblPr>
      <w:tblGrid>
        <w:gridCol w:w="5044"/>
        <w:gridCol w:w="4935"/>
        <w:gridCol w:w="4239"/>
      </w:tblGrid>
      <w:tr w:rsidR="00766620" w:rsidTr="00910939">
        <w:trPr>
          <w:trHeight w:val="401"/>
        </w:trPr>
        <w:tc>
          <w:tcPr>
            <w:tcW w:w="50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66620" w:rsidRPr="00D959FC" w:rsidRDefault="00766620" w:rsidP="00910939">
            <w:pPr>
              <w:jc w:val="center"/>
              <w:rPr>
                <w:rFonts w:ascii="Segoe Print" w:hAnsi="Segoe Print"/>
                <w:b/>
                <w:bCs/>
              </w:rPr>
            </w:pPr>
            <w:r w:rsidRPr="00D959FC">
              <w:rPr>
                <w:rFonts w:ascii="Segoe Print" w:hAnsi="Segoe Print"/>
                <w:b/>
                <w:bCs/>
              </w:rPr>
              <w:t>Les objectifs visés</w:t>
            </w:r>
          </w:p>
        </w:tc>
        <w:tc>
          <w:tcPr>
            <w:tcW w:w="49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66620" w:rsidRPr="00D959FC" w:rsidRDefault="00766620" w:rsidP="00910939">
            <w:pPr>
              <w:jc w:val="center"/>
              <w:rPr>
                <w:rFonts w:ascii="Segoe Print" w:hAnsi="Segoe Print"/>
                <w:b/>
                <w:bCs/>
              </w:rPr>
            </w:pPr>
            <w:r w:rsidRPr="00D959FC">
              <w:rPr>
                <w:rFonts w:ascii="Segoe Print" w:hAnsi="Segoe Print"/>
                <w:b/>
                <w:bCs/>
              </w:rPr>
              <w:t>Prérequis</w:t>
            </w:r>
          </w:p>
        </w:tc>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66620" w:rsidRPr="00D959FC" w:rsidRDefault="00766620" w:rsidP="00910939">
            <w:pPr>
              <w:jc w:val="center"/>
              <w:rPr>
                <w:rFonts w:ascii="Segoe Print" w:hAnsi="Segoe Print"/>
                <w:b/>
                <w:bCs/>
              </w:rPr>
            </w:pPr>
            <w:r w:rsidRPr="00D959FC">
              <w:rPr>
                <w:rFonts w:ascii="Segoe Print" w:hAnsi="Segoe Print"/>
                <w:b/>
                <w:bCs/>
              </w:rPr>
              <w:t xml:space="preserve">Les étendus </w:t>
            </w:r>
          </w:p>
        </w:tc>
      </w:tr>
      <w:tr w:rsidR="00766620" w:rsidTr="00910939">
        <w:trPr>
          <w:trHeight w:val="1867"/>
        </w:trPr>
        <w:tc>
          <w:tcPr>
            <w:tcW w:w="5044" w:type="dxa"/>
            <w:tcBorders>
              <w:top w:val="single" w:sz="12" w:space="0" w:color="auto"/>
              <w:left w:val="single" w:sz="12" w:space="0" w:color="auto"/>
              <w:bottom w:val="single" w:sz="12" w:space="0" w:color="auto"/>
              <w:right w:val="single" w:sz="12" w:space="0" w:color="auto"/>
            </w:tcBorders>
          </w:tcPr>
          <w:p w:rsidR="00766620" w:rsidRPr="00D959FC" w:rsidRDefault="00766620" w:rsidP="00766620">
            <w:pPr>
              <w:pStyle w:val="Paragraphedeliste"/>
              <w:numPr>
                <w:ilvl w:val="0"/>
                <w:numId w:val="2"/>
              </w:numPr>
              <w:ind w:left="426"/>
              <w:rPr>
                <w:b/>
                <w:bCs/>
                <w:sz w:val="20"/>
                <w:szCs w:val="20"/>
              </w:rPr>
            </w:pPr>
            <w:r w:rsidRPr="00D959FC">
              <w:rPr>
                <w:b/>
                <w:bCs/>
                <w:sz w:val="20"/>
                <w:szCs w:val="20"/>
              </w:rPr>
              <w:t>Découvrir le mouvement des continents durant les derniers 250 MA.</w:t>
            </w:r>
          </w:p>
          <w:p w:rsidR="00766620" w:rsidRPr="00D959FC" w:rsidRDefault="00766620" w:rsidP="00766620">
            <w:pPr>
              <w:pStyle w:val="Paragraphedeliste"/>
              <w:numPr>
                <w:ilvl w:val="0"/>
                <w:numId w:val="2"/>
              </w:numPr>
              <w:ind w:left="426"/>
              <w:rPr>
                <w:b/>
                <w:bCs/>
                <w:sz w:val="20"/>
                <w:szCs w:val="20"/>
              </w:rPr>
            </w:pPr>
            <w:r w:rsidRPr="00D959FC">
              <w:rPr>
                <w:b/>
                <w:bCs/>
                <w:sz w:val="20"/>
                <w:szCs w:val="20"/>
              </w:rPr>
              <w:t>Mise en évidence les arguments en faveur de la théorie de la dérive des continents.</w:t>
            </w:r>
          </w:p>
          <w:p w:rsidR="00766620" w:rsidRPr="00D959FC" w:rsidRDefault="00766620" w:rsidP="00766620">
            <w:pPr>
              <w:pStyle w:val="Paragraphedeliste"/>
              <w:numPr>
                <w:ilvl w:val="0"/>
                <w:numId w:val="2"/>
              </w:numPr>
              <w:ind w:left="426"/>
              <w:rPr>
                <w:b/>
                <w:bCs/>
                <w:sz w:val="20"/>
                <w:szCs w:val="20"/>
              </w:rPr>
            </w:pPr>
            <w:r w:rsidRPr="00D959FC">
              <w:rPr>
                <w:b/>
                <w:bCs/>
                <w:sz w:val="20"/>
                <w:szCs w:val="20"/>
              </w:rPr>
              <w:t>Découvrir la morphologie des fonds océaniques.</w:t>
            </w:r>
          </w:p>
          <w:p w:rsidR="00766620" w:rsidRPr="00D959FC" w:rsidRDefault="00766620" w:rsidP="00766620">
            <w:pPr>
              <w:pStyle w:val="Paragraphedeliste"/>
              <w:numPr>
                <w:ilvl w:val="0"/>
                <w:numId w:val="2"/>
              </w:numPr>
              <w:ind w:left="426"/>
              <w:rPr>
                <w:b/>
                <w:bCs/>
                <w:sz w:val="20"/>
                <w:szCs w:val="20"/>
              </w:rPr>
            </w:pPr>
            <w:r w:rsidRPr="00D959FC">
              <w:rPr>
                <w:b/>
                <w:bCs/>
                <w:sz w:val="20"/>
                <w:szCs w:val="20"/>
              </w:rPr>
              <w:t>La notion de la plaque lithosphérique.</w:t>
            </w:r>
          </w:p>
          <w:p w:rsidR="00766620" w:rsidRDefault="00766620" w:rsidP="00766620">
            <w:pPr>
              <w:pStyle w:val="Paragraphedeliste"/>
              <w:numPr>
                <w:ilvl w:val="0"/>
                <w:numId w:val="2"/>
              </w:numPr>
              <w:ind w:left="426"/>
            </w:pPr>
            <w:r w:rsidRPr="00D959FC">
              <w:rPr>
                <w:b/>
                <w:bCs/>
                <w:sz w:val="20"/>
                <w:szCs w:val="20"/>
              </w:rPr>
              <w:t>Mettre en évidence la mobilité des plaques</w:t>
            </w:r>
            <w:r w:rsidRPr="00D959FC">
              <w:rPr>
                <w:b/>
                <w:bCs/>
              </w:rPr>
              <w:t xml:space="preserve"> lithosphériques.</w:t>
            </w:r>
            <w:r>
              <w:t xml:space="preserve"> </w:t>
            </w:r>
          </w:p>
        </w:tc>
        <w:tc>
          <w:tcPr>
            <w:tcW w:w="4935" w:type="dxa"/>
            <w:tcBorders>
              <w:top w:val="single" w:sz="12" w:space="0" w:color="auto"/>
              <w:left w:val="single" w:sz="12" w:space="0" w:color="auto"/>
              <w:bottom w:val="single" w:sz="12" w:space="0" w:color="auto"/>
              <w:right w:val="single" w:sz="12" w:space="0" w:color="auto"/>
            </w:tcBorders>
          </w:tcPr>
          <w:p w:rsidR="00766620" w:rsidRPr="00D959FC" w:rsidRDefault="00766620" w:rsidP="00766620">
            <w:pPr>
              <w:pStyle w:val="Paragraphedeliste"/>
              <w:numPr>
                <w:ilvl w:val="0"/>
                <w:numId w:val="2"/>
              </w:numPr>
              <w:ind w:left="485"/>
              <w:rPr>
                <w:b/>
                <w:bCs/>
                <w:sz w:val="20"/>
                <w:szCs w:val="20"/>
              </w:rPr>
            </w:pPr>
            <w:r w:rsidRPr="00D959FC">
              <w:rPr>
                <w:b/>
                <w:bCs/>
                <w:sz w:val="20"/>
                <w:szCs w:val="20"/>
              </w:rPr>
              <w:t>La terre : une planète en plain changement.</w:t>
            </w:r>
          </w:p>
          <w:p w:rsidR="00766620" w:rsidRPr="00D959FC" w:rsidRDefault="00766620" w:rsidP="00766620">
            <w:pPr>
              <w:pStyle w:val="Paragraphedeliste"/>
              <w:numPr>
                <w:ilvl w:val="0"/>
                <w:numId w:val="2"/>
              </w:numPr>
              <w:ind w:left="485"/>
              <w:rPr>
                <w:b/>
                <w:bCs/>
                <w:sz w:val="20"/>
                <w:szCs w:val="20"/>
              </w:rPr>
            </w:pPr>
            <w:r w:rsidRPr="00D959FC">
              <w:rPr>
                <w:b/>
                <w:bCs/>
                <w:sz w:val="20"/>
                <w:szCs w:val="20"/>
              </w:rPr>
              <w:t>La carte et le profil topographique – Sciences de la vie et de la terre, 1 année collège</w:t>
            </w:r>
          </w:p>
          <w:p w:rsidR="00766620" w:rsidRPr="00D959FC" w:rsidRDefault="00766620" w:rsidP="00766620">
            <w:pPr>
              <w:pStyle w:val="Paragraphedeliste"/>
              <w:numPr>
                <w:ilvl w:val="0"/>
                <w:numId w:val="2"/>
              </w:numPr>
              <w:ind w:left="485"/>
              <w:rPr>
                <w:b/>
                <w:bCs/>
                <w:sz w:val="20"/>
                <w:szCs w:val="20"/>
              </w:rPr>
            </w:pPr>
            <w:r w:rsidRPr="00D959FC">
              <w:rPr>
                <w:b/>
                <w:bCs/>
                <w:sz w:val="20"/>
                <w:szCs w:val="20"/>
              </w:rPr>
              <w:t>Les phénomènes géologiques externes : Erosion, transport, sédimentation, formation des roches sédimentaires.</w:t>
            </w:r>
          </w:p>
          <w:p w:rsidR="00766620" w:rsidRPr="00D959FC" w:rsidRDefault="00766620" w:rsidP="00766620">
            <w:pPr>
              <w:pStyle w:val="Paragraphedeliste"/>
              <w:numPr>
                <w:ilvl w:val="0"/>
                <w:numId w:val="2"/>
              </w:numPr>
              <w:ind w:left="485"/>
              <w:rPr>
                <w:sz w:val="20"/>
                <w:szCs w:val="20"/>
              </w:rPr>
            </w:pPr>
            <w:r w:rsidRPr="00D959FC">
              <w:rPr>
                <w:b/>
                <w:bCs/>
                <w:sz w:val="20"/>
                <w:szCs w:val="20"/>
              </w:rPr>
              <w:t>La carte géographique : analyse et lecture de ces éléments.</w:t>
            </w:r>
          </w:p>
        </w:tc>
        <w:tc>
          <w:tcPr>
            <w:tcW w:w="4239" w:type="dxa"/>
            <w:tcBorders>
              <w:top w:val="single" w:sz="12" w:space="0" w:color="auto"/>
              <w:left w:val="single" w:sz="12" w:space="0" w:color="auto"/>
              <w:bottom w:val="single" w:sz="12" w:space="0" w:color="auto"/>
              <w:right w:val="single" w:sz="12" w:space="0" w:color="auto"/>
            </w:tcBorders>
          </w:tcPr>
          <w:p w:rsidR="00766620" w:rsidRPr="00D959FC" w:rsidRDefault="00766620" w:rsidP="00766620">
            <w:pPr>
              <w:pStyle w:val="Paragraphedeliste"/>
              <w:numPr>
                <w:ilvl w:val="0"/>
                <w:numId w:val="2"/>
              </w:numPr>
              <w:ind w:left="511"/>
              <w:rPr>
                <w:sz w:val="20"/>
                <w:szCs w:val="20"/>
              </w:rPr>
            </w:pPr>
            <w:r w:rsidRPr="00D959FC">
              <w:rPr>
                <w:b/>
                <w:bCs/>
                <w:sz w:val="20"/>
                <w:szCs w:val="20"/>
              </w:rPr>
              <w:t>2éme année collégiale :</w:t>
            </w:r>
            <w:r w:rsidRPr="00D959FC">
              <w:rPr>
                <w:sz w:val="20"/>
                <w:szCs w:val="20"/>
              </w:rPr>
              <w:t xml:space="preserve"> unité 1, chaque notion étudiée en amant trouve son étendue en avale. </w:t>
            </w:r>
          </w:p>
          <w:p w:rsidR="00766620" w:rsidRDefault="00766620" w:rsidP="00766620">
            <w:pPr>
              <w:pStyle w:val="Paragraphedeliste"/>
              <w:numPr>
                <w:ilvl w:val="0"/>
                <w:numId w:val="2"/>
              </w:numPr>
              <w:ind w:left="511"/>
              <w:rPr>
                <w:sz w:val="20"/>
                <w:szCs w:val="20"/>
              </w:rPr>
            </w:pPr>
            <w:r w:rsidRPr="00D959FC">
              <w:rPr>
                <w:b/>
                <w:bCs/>
                <w:sz w:val="20"/>
                <w:szCs w:val="20"/>
              </w:rPr>
              <w:t>2éme année baccalauréat :</w:t>
            </w:r>
            <w:r w:rsidRPr="00D959FC">
              <w:rPr>
                <w:sz w:val="20"/>
                <w:szCs w:val="20"/>
              </w:rPr>
              <w:t xml:space="preserve"> Unité 6, les chaines de montagnes récentes et leur relation </w:t>
            </w:r>
            <w:r>
              <w:rPr>
                <w:sz w:val="20"/>
                <w:szCs w:val="20"/>
              </w:rPr>
              <w:t>avec la tectonique des plaques.</w:t>
            </w:r>
          </w:p>
          <w:p w:rsidR="00766620" w:rsidRPr="00D959FC" w:rsidRDefault="00766620" w:rsidP="00766620">
            <w:pPr>
              <w:pStyle w:val="Paragraphedeliste"/>
              <w:numPr>
                <w:ilvl w:val="0"/>
                <w:numId w:val="2"/>
              </w:numPr>
              <w:ind w:left="511"/>
              <w:rPr>
                <w:sz w:val="20"/>
                <w:szCs w:val="20"/>
              </w:rPr>
            </w:pPr>
            <w:r>
              <w:rPr>
                <w:sz w:val="20"/>
                <w:szCs w:val="20"/>
              </w:rPr>
              <w:t xml:space="preserve">Les déformations tectoniques caractérisant les chaines de subduction et chaines de collision. </w:t>
            </w:r>
          </w:p>
        </w:tc>
      </w:tr>
    </w:tbl>
    <w:p w:rsidR="00ED50D1" w:rsidRDefault="00ED50D1" w:rsidP="00766620">
      <w:pPr>
        <w:ind w:left="-567"/>
      </w:pPr>
    </w:p>
    <w:sectPr w:rsidR="00ED50D1" w:rsidSect="00766620">
      <w:pgSz w:w="16838" w:h="11906" w:orient="landscape"/>
      <w:pgMar w:top="851" w:right="820"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bai Medium">
    <w:altName w:val="Arial"/>
    <w:charset w:val="00"/>
    <w:family w:val="swiss"/>
    <w:pitch w:val="variable"/>
    <w:sig w:usb0="00000000"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56AF"/>
    <w:multiLevelType w:val="hybridMultilevel"/>
    <w:tmpl w:val="86A25B6C"/>
    <w:lvl w:ilvl="0" w:tplc="2BB087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DF4B10"/>
    <w:multiLevelType w:val="hybridMultilevel"/>
    <w:tmpl w:val="0024A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F6"/>
    <w:rsid w:val="007442F6"/>
    <w:rsid w:val="00766620"/>
    <w:rsid w:val="00ED50D1"/>
    <w:rsid w:val="00F163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6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6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6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1690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Issame</dc:creator>
  <cp:lastModifiedBy>Issame</cp:lastModifiedBy>
  <cp:revision>3</cp:revision>
  <cp:lastPrinted>2019-11-18T23:04:00Z</cp:lastPrinted>
  <dcterms:created xsi:type="dcterms:W3CDTF">2019-11-18T23:01:00Z</dcterms:created>
  <dcterms:modified xsi:type="dcterms:W3CDTF">2019-11-18T23:04:00Z</dcterms:modified>
</cp:coreProperties>
</file>