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D" w:rsidRPr="001B29DF" w:rsidRDefault="0033044D" w:rsidP="001B29DF">
      <w:pPr>
        <w:bidi/>
        <w:jc w:val="right"/>
        <w:rPr>
          <w:b/>
          <w:bCs/>
          <w:color w:val="0070C0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343"/>
        <w:gridCol w:w="1836"/>
        <w:gridCol w:w="1463"/>
        <w:gridCol w:w="1817"/>
        <w:gridCol w:w="1877"/>
      </w:tblGrid>
      <w:tr w:rsidR="008C1740" w:rsidRPr="007C2BB0" w:rsidTr="00ED7138">
        <w:trPr>
          <w:jc w:val="center"/>
        </w:trPr>
        <w:tc>
          <w:tcPr>
            <w:tcW w:w="11172" w:type="dxa"/>
            <w:gridSpan w:val="6"/>
          </w:tcPr>
          <w:p w:rsidR="008C1740" w:rsidRPr="001B29DF" w:rsidRDefault="003963D6" w:rsidP="00F807A9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MA"/>
              </w:rPr>
            </w:pPr>
            <w:proofErr w:type="spellStart"/>
            <w:r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Lecon</w:t>
            </w:r>
            <w:proofErr w:type="spellEnd"/>
            <w:r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63B31"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 :</w:t>
            </w:r>
            <w:r w:rsidR="00F807A9"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Masse</w:t>
            </w:r>
            <w:r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807A9"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des solides</w:t>
            </w:r>
            <w:r w:rsidR="00363B31"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et </w:t>
            </w:r>
            <w:r w:rsidR="00F807A9" w:rsidRPr="001B29D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des liquides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Bouassiria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410" w:type="dxa"/>
          </w:tcPr>
          <w:p w:rsidR="008C1740" w:rsidRPr="007C2BB0" w:rsidRDefault="001E514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6DE3" w:rsidRPr="007C2BB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Collège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malk</w:t>
            </w:r>
            <w:proofErr w:type="spellEnd"/>
          </w:p>
        </w:tc>
        <w:tc>
          <w:tcPr>
            <w:tcW w:w="1487" w:type="dxa"/>
          </w:tcPr>
          <w:p w:rsidR="008C1740" w:rsidRPr="007C2BB0" w:rsidRDefault="00F7715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1. A.C</w:t>
            </w:r>
          </w:p>
        </w:tc>
        <w:tc>
          <w:tcPr>
            <w:tcW w:w="1824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:rsidR="002257EC" w:rsidRPr="00572D1D" w:rsidRDefault="002257EC" w:rsidP="002257EC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276"/>
        <w:gridCol w:w="2835"/>
        <w:gridCol w:w="4111"/>
        <w:gridCol w:w="1475"/>
      </w:tblGrid>
      <w:tr w:rsidR="00EE2686" w:rsidRPr="00A71ED6" w:rsidTr="00BF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276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2835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Objectifs général</w:t>
            </w:r>
          </w:p>
        </w:tc>
        <w:tc>
          <w:tcPr>
            <w:tcW w:w="4111" w:type="dxa"/>
            <w:shd w:val="clear" w:color="auto" w:fill="F0F8DB" w:themeFill="accent4" w:themeFillTint="66"/>
          </w:tcPr>
          <w:p w:rsidR="002257EC" w:rsidRPr="00A71ED6" w:rsidRDefault="00C42A63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faire</w:t>
            </w:r>
          </w:p>
        </w:tc>
        <w:tc>
          <w:tcPr>
            <w:tcW w:w="1475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acquis</w:t>
            </w:r>
          </w:p>
        </w:tc>
      </w:tr>
      <w:tr w:rsidR="00EE2686" w:rsidTr="00BF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auto"/>
          </w:tcPr>
          <w:p w:rsidR="002257EC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 xml:space="preserve">Guide pédagogie </w:t>
            </w:r>
          </w:p>
          <w:p w:rsidR="00EE2686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I</w:t>
            </w:r>
            <w:r>
              <w:rPr>
                <w:b w:val="0"/>
                <w:bCs w:val="0"/>
                <w:color w:val="auto"/>
              </w:rPr>
              <w:t>nternet</w:t>
            </w:r>
          </w:p>
          <w:p w:rsidR="00EE2686" w:rsidRPr="00CD46AB" w:rsidRDefault="00EE2686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encyclopédie</w:t>
            </w:r>
          </w:p>
        </w:tc>
        <w:tc>
          <w:tcPr>
            <w:tcW w:w="1276" w:type="dxa"/>
            <w:shd w:val="clear" w:color="auto" w:fill="auto"/>
          </w:tcPr>
          <w:p w:rsidR="002257EC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-livre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-projecteur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-série de sigma</w:t>
            </w:r>
          </w:p>
          <w:p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5C2A7D" w:rsidRDefault="00767E53" w:rsidP="008B73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D62B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8B732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unités de la masse.</w:t>
            </w:r>
          </w:p>
          <w:p w:rsidR="00F94315" w:rsidRDefault="005C2A7D" w:rsidP="008B73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8B732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Mesure expérimentalement la masse </w:t>
            </w:r>
            <w:proofErr w:type="gramStart"/>
            <w:r w:rsidR="008B732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d’une</w:t>
            </w:r>
            <w:proofErr w:type="gramEnd"/>
            <w:r w:rsidR="008B732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corps.</w:t>
            </w:r>
            <w:r w:rsidR="00767E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2257EC" w:rsidRPr="00F94315" w:rsidRDefault="008B732E" w:rsidP="00BF7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 Savoir que la masse est une grandeur qui connaitre la matière.</w:t>
            </w:r>
          </w:p>
        </w:tc>
        <w:tc>
          <w:tcPr>
            <w:tcW w:w="4111" w:type="dxa"/>
            <w:shd w:val="clear" w:color="auto" w:fill="auto"/>
          </w:tcPr>
          <w:p w:rsidR="00FB260D" w:rsidRPr="00411CC2" w:rsidRDefault="00C42A63" w:rsidP="00ED7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 fin de la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CE3B72" w:rsidRPr="00C42A6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è</w:t>
            </w:r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 session du 1.AC, A propos du support écrit </w:t>
            </w:r>
            <w:proofErr w:type="spellStart"/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où</w:t>
            </w:r>
            <w:proofErr w:type="spellEnd"/>
            <w:r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bien des photos, il permet l’élève de l’analyse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situation problématique, utilisant des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techniques intègres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il s’agit de l’eau et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états physiques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la matière, transformation physique de la matière, les mélanges traitement des eaux.</w:t>
            </w:r>
          </w:p>
        </w:tc>
        <w:tc>
          <w:tcPr>
            <w:tcW w:w="1475" w:type="dxa"/>
            <w:shd w:val="clear" w:color="auto" w:fill="auto"/>
          </w:tcPr>
          <w:p w:rsidR="002257EC" w:rsidRPr="00840E52" w:rsidRDefault="00D62B94" w:rsidP="00EE2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de </w:t>
            </w:r>
            <w:r w:rsidR="00136F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masse d’un objet et la masse marquée </w:t>
            </w:r>
            <w:r w:rsidR="00CF60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et les type </w:t>
            </w:r>
            <w:r w:rsidR="00140D8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la</w:t>
            </w:r>
            <w:r w:rsidR="00CF60C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b</w:t>
            </w:r>
            <w:r w:rsidR="002D35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alance</w:t>
            </w:r>
          </w:p>
        </w:tc>
      </w:tr>
    </w:tbl>
    <w:p w:rsidR="007C5B60" w:rsidRPr="007C5B60" w:rsidRDefault="00314F4D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r w:rsidR="007C5B60"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7C5B60" w:rsidRPr="007C5B60">
        <w:rPr>
          <w:rFonts w:asciiTheme="majorBidi" w:hAnsiTheme="majorBidi" w:cstheme="majorBidi"/>
          <w:sz w:val="24"/>
          <w:szCs w:val="24"/>
        </w:rPr>
        <w:t>on considère l’eau</w:t>
      </w:r>
      <w:r w:rsidR="00FC54CE">
        <w:rPr>
          <w:rFonts w:asciiTheme="majorBidi" w:hAnsiTheme="majorBidi" w:cstheme="majorBidi"/>
          <w:sz w:val="24"/>
          <w:szCs w:val="24"/>
        </w:rPr>
        <w:t xml:space="preserve"> c’est une matière plus existe dans la nature</w:t>
      </w:r>
      <w:r w:rsidR="007C5B60">
        <w:rPr>
          <w:rFonts w:asciiTheme="majorBidi" w:hAnsiTheme="majorBidi" w:cstheme="majorBidi"/>
          <w:sz w:val="24"/>
          <w:szCs w:val="24"/>
        </w:rPr>
        <w:t>.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</w:t>
      </w:r>
    </w:p>
    <w:p w:rsidR="007C5B60" w:rsidRDefault="007C5B60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5B60">
        <w:rPr>
          <w:rFonts w:asciiTheme="majorBidi" w:hAnsiTheme="majorBidi" w:cstheme="majorBidi"/>
          <w:sz w:val="24"/>
          <w:szCs w:val="24"/>
        </w:rPr>
        <w:t xml:space="preserve">Comment </w:t>
      </w:r>
      <w:r w:rsidR="00665199">
        <w:rPr>
          <w:rFonts w:asciiTheme="majorBidi" w:hAnsiTheme="majorBidi" w:cstheme="majorBidi"/>
          <w:sz w:val="24"/>
          <w:szCs w:val="24"/>
        </w:rPr>
        <w:t>mesurer la masse</w:t>
      </w:r>
      <w:r w:rsidR="00FC54CE">
        <w:rPr>
          <w:rFonts w:asciiTheme="majorBidi" w:hAnsiTheme="majorBidi" w:cstheme="majorBidi"/>
          <w:sz w:val="24"/>
          <w:szCs w:val="24"/>
        </w:rPr>
        <w:t xml:space="preserve"> de cette eau.</w:t>
      </w:r>
    </w:p>
    <w:p w:rsidR="00FC54CE" w:rsidRDefault="00FC54CE" w:rsidP="00FC54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Quel est </w:t>
      </w:r>
      <w:r w:rsidR="00884258">
        <w:rPr>
          <w:rFonts w:asciiTheme="majorBidi" w:hAnsiTheme="majorBidi" w:cstheme="majorBidi"/>
          <w:sz w:val="24"/>
          <w:szCs w:val="24"/>
        </w:rPr>
        <w:t>les matériels</w:t>
      </w:r>
      <w:r>
        <w:rPr>
          <w:rFonts w:asciiTheme="majorBidi" w:hAnsiTheme="majorBidi" w:cstheme="majorBidi"/>
          <w:sz w:val="24"/>
          <w:szCs w:val="24"/>
        </w:rPr>
        <w:t xml:space="preserve"> utiliser. </w:t>
      </w:r>
      <w:r w:rsidR="00884258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668"/>
        <w:gridCol w:w="3428"/>
        <w:gridCol w:w="4813"/>
        <w:gridCol w:w="1432"/>
      </w:tblGrid>
      <w:tr w:rsidR="00871B7B" w:rsidTr="001B29DF">
        <w:trPr>
          <w:trHeight w:val="150"/>
          <w:jc w:val="center"/>
        </w:trPr>
        <w:tc>
          <w:tcPr>
            <w:tcW w:w="1668" w:type="dxa"/>
            <w:vMerge w:val="restart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8241" w:type="dxa"/>
            <w:gridSpan w:val="2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432" w:type="dxa"/>
            <w:vMerge w:val="restart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212ED1" w:rsidTr="001B29DF">
        <w:trPr>
          <w:trHeight w:val="120"/>
          <w:jc w:val="center"/>
        </w:trPr>
        <w:tc>
          <w:tcPr>
            <w:tcW w:w="1668" w:type="dxa"/>
            <w:vMerge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4813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</w:t>
            </w:r>
          </w:p>
        </w:tc>
        <w:tc>
          <w:tcPr>
            <w:tcW w:w="1432" w:type="dxa"/>
            <w:vMerge/>
          </w:tcPr>
          <w:p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D1" w:rsidTr="001B29DF">
        <w:trPr>
          <w:jc w:val="center"/>
        </w:trPr>
        <w:tc>
          <w:tcPr>
            <w:tcW w:w="1668" w:type="dxa"/>
          </w:tcPr>
          <w:p w:rsidR="0084792B" w:rsidRPr="00E67BFC" w:rsidRDefault="00C64C54" w:rsidP="00E67BFC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I.Notion</w:t>
            </w:r>
            <w:proofErr w:type="spellEnd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de masse.</w:t>
            </w:r>
          </w:p>
          <w:p w:rsidR="00E67BFC" w:rsidRPr="00E67BFC" w:rsidRDefault="00065C5B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84792B" w:rsidRPr="0084792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1. </w:t>
            </w:r>
            <w:r w:rsidR="00C64C5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Définition. </w:t>
            </w:r>
          </w:p>
          <w:p w:rsidR="001810AB" w:rsidRDefault="0084792B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84792B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1.2. unités de </w:t>
            </w:r>
            <w:r w:rsidR="00C64C54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la masse.</w:t>
            </w:r>
          </w:p>
          <w:p w:rsidR="000E6768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E6768" w:rsidRPr="00C64C54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1810AB" w:rsidRDefault="00C64C54" w:rsidP="00EC5B7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</w:t>
            </w:r>
            <w:r w:rsidR="001810AB"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Mesure de la masse d’un solide.</w:t>
            </w:r>
          </w:p>
          <w:p w:rsidR="00F73BE8" w:rsidRDefault="00C64C54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1.</w:t>
            </w:r>
            <w:r w:rsidR="00F73BE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Utilisation de la balance </w:t>
            </w:r>
            <w:r w:rsidR="004B0476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 xml:space="preserve">de </w:t>
            </w:r>
            <w:r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Roberval.</w:t>
            </w:r>
          </w:p>
          <w:p w:rsidR="00F73BE8" w:rsidRDefault="00F73BE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F73BE8" w:rsidRDefault="00F73BE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F73BE8" w:rsidRDefault="00F73BE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F73BE8" w:rsidRDefault="00F73BE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4B0476" w:rsidRPr="00E67BFC" w:rsidRDefault="004B0476" w:rsidP="000E6768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F73BE8" w:rsidRDefault="00212ED1" w:rsidP="00F73BE8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4D3FC1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2</w:t>
            </w:r>
            <w:r w:rsidR="00F73BE8">
              <w:rPr>
                <w:rFonts w:asciiTheme="majorBidi" w:hAnsiTheme="majorBidi" w:cstheme="majorBidi"/>
                <w:color w:val="00B050"/>
                <w:sz w:val="24"/>
                <w:szCs w:val="24"/>
              </w:rPr>
              <w:t>. Utilisation de la balance électronique.</w:t>
            </w:r>
          </w:p>
          <w:p w:rsidR="00F73BE8" w:rsidRDefault="00F73BE8" w:rsidP="00F73BE8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067AE" w:rsidRPr="007B6927" w:rsidRDefault="00B067AE" w:rsidP="00B067AE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80C69" w:rsidRPr="007B6927" w:rsidRDefault="00180C69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D7B12" w:rsidRDefault="0092128B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III</w:t>
            </w:r>
            <w:r w:rsidR="005D7B12"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. </w:t>
            </w:r>
            <w:r w:rsidR="004D3FC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Mesure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la masse d’un liquide</w:t>
            </w:r>
          </w:p>
          <w:p w:rsidR="0092128B" w:rsidRDefault="0092128B" w:rsidP="009212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560" w:rsidRDefault="002F6560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777D1F" w:rsidRPr="00871B7B" w:rsidRDefault="00777D1F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8" w:type="dxa"/>
          </w:tcPr>
          <w:p w:rsidR="00871B7B" w:rsidRDefault="006119D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-Qu’est-ce que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>la masse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67BFC" w:rsidRDefault="006119DC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-Quel est 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>le symbole de la masse.</w:t>
            </w:r>
          </w:p>
          <w:p w:rsidR="006119DC" w:rsidRDefault="006119DC" w:rsidP="00E67BF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 est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 xml:space="preserve"> l’unité international de la masse.</w:t>
            </w:r>
          </w:p>
          <w:p w:rsidR="00E67BFC" w:rsidRDefault="00C64C54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Quel est le symbole de cette unité.</w:t>
            </w:r>
          </w:p>
          <w:p w:rsidR="00C64C54" w:rsidRDefault="00C64C54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19DC" w:rsidRDefault="00347E13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Voir 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>la page 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B067AE" w:rsidRDefault="007D6B50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24AFF">
              <w:rPr>
                <w:rFonts w:asciiTheme="majorBidi" w:hAnsiTheme="majorBidi" w:cstheme="majorBidi"/>
                <w:sz w:val="24"/>
                <w:szCs w:val="24"/>
              </w:rPr>
              <w:t xml:space="preserve">quel est les matériels utiliser pour mesurer 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>la masse d’un solide</w:t>
            </w:r>
            <w:r w:rsidR="00324AF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8319B" w:rsidRDefault="0058319B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-Comment utiliser une balance de Roberval </w:t>
            </w:r>
          </w:p>
          <w:p w:rsidR="00324AFF" w:rsidRDefault="00324AFF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6A42" w:rsidRDefault="00E46A42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B0476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Comment utiliser une balance électronique </w:t>
            </w: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3FC1" w:rsidRDefault="004D3FC1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92128B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6721F" w:rsidRDefault="000E6768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mesurer la masse d’un liquide avec un récipient et une balance électronique</w:t>
            </w:r>
          </w:p>
          <w:p w:rsidR="000E6768" w:rsidRDefault="000E6768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3368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721F" w:rsidRDefault="0086721F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3" w:type="dxa"/>
          </w:tcPr>
          <w:p w:rsidR="0084792B" w:rsidRDefault="00C64C54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-la masse d’un objet est liée à la quantité de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matiére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 contient cet objet. On la note m.</w:t>
            </w:r>
          </w:p>
          <w:p w:rsidR="00E67BFC" w:rsidRDefault="00E67BFC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792B" w:rsidRDefault="0084792B" w:rsidP="00C64C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l’unité </w:t>
            </w:r>
            <w:r w:rsidR="0058319B">
              <w:rPr>
                <w:rFonts w:asciiTheme="majorBidi" w:hAnsiTheme="majorBidi" w:cstheme="majorBidi"/>
                <w:sz w:val="24"/>
                <w:szCs w:val="24"/>
              </w:rPr>
              <w:t>internationale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4C54">
              <w:rPr>
                <w:rFonts w:asciiTheme="majorBidi" w:hAnsiTheme="majorBidi" w:cstheme="majorBidi"/>
                <w:sz w:val="24"/>
                <w:szCs w:val="24"/>
              </w:rPr>
              <w:t>de la masse est le kilogramme. On la note Kg</w:t>
            </w:r>
          </w:p>
          <w:p w:rsidR="000E6768" w:rsidRDefault="000E6768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319B" w:rsidRDefault="0058319B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-on utilise la balance de Roberval</w:t>
            </w:r>
          </w:p>
          <w:p w:rsidR="0058319B" w:rsidRDefault="0058319B" w:rsidP="005831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- 1</w:t>
            </w:r>
            <w:r w:rsidRPr="0058319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observer la balance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vide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c-a-d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lorsque les plateaux sont vides et repérer la position de l’aiguille.</w:t>
            </w:r>
          </w:p>
          <w:p w:rsidR="0058319B" w:rsidRDefault="0058319B" w:rsidP="005831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8319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placer l’objet 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peser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au milieu de l’un des plateaux.</w:t>
            </w:r>
          </w:p>
          <w:p w:rsidR="0058319B" w:rsidRDefault="0058319B" w:rsidP="005831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58319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placer dans l’autre plateau des masses marquées, en les essayant par ordre décroissant de la plus grande, jusqu'à ce que le </w:t>
            </w:r>
            <w:r w:rsidR="00F73BE8">
              <w:rPr>
                <w:rFonts w:asciiTheme="majorBidi" w:hAnsiTheme="majorBidi" w:cstheme="majorBidi"/>
                <w:sz w:val="24"/>
                <w:szCs w:val="24"/>
              </w:rPr>
              <w:t>même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73BE8">
              <w:rPr>
                <w:rFonts w:asciiTheme="majorBidi" w:hAnsiTheme="majorBidi" w:cstheme="majorBidi"/>
                <w:sz w:val="24"/>
                <w:szCs w:val="24"/>
              </w:rPr>
              <w:t>équilibre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vide soit rétabli</w:t>
            </w:r>
          </w:p>
          <w:p w:rsidR="00F73BE8" w:rsidRDefault="00F73BE8" w:rsidP="0058319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F73BE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lire la masse d’un objet.</w:t>
            </w:r>
          </w:p>
          <w:p w:rsidR="00F73BE8" w:rsidRDefault="0092128B" w:rsidP="009212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- 1</w:t>
            </w:r>
            <w:r w:rsidRPr="0092128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appuyer sur le bouton on pour mettre la balance en marche.</w:t>
            </w:r>
          </w:p>
          <w:p w:rsidR="0092128B" w:rsidRDefault="0092128B" w:rsidP="009212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0E676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quand la balance indique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zero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peser l’objet à peser au milieu.</w:t>
            </w:r>
          </w:p>
          <w:p w:rsidR="0092128B" w:rsidRDefault="0092128B" w:rsidP="009212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0E676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lire la valeur affichée sur l’afficheur de la balance.</w:t>
            </w:r>
          </w:p>
          <w:p w:rsidR="00776640" w:rsidRDefault="000E6768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0E676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mettre en marche la balance et attendre que le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zero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s’affiche sur son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ecran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E6768" w:rsidRDefault="000E6768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peser le récipient qui va contenir le liquide sur la balance.</w:t>
            </w:r>
          </w:p>
          <w:p w:rsidR="000E6768" w:rsidRDefault="000E6768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appuyer sur le bouton TARE pour remettre l’indication de la balance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zero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E6768" w:rsidRPr="00776640" w:rsidRDefault="000E6768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eme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verser délicatement le liquide dans le récipient posé sur la balance.</w:t>
            </w:r>
          </w:p>
        </w:tc>
        <w:tc>
          <w:tcPr>
            <w:tcW w:w="1432" w:type="dxa"/>
          </w:tcPr>
          <w:p w:rsidR="00F60DFA" w:rsidRDefault="00F60DFA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790BA7" w:rsidRPr="00347E13" w:rsidRDefault="00F60DFA" w:rsidP="00347E1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7E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 1 </w:t>
            </w:r>
          </w:p>
          <w:p w:rsidR="00347E13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7E13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Effectuer les conversions suivant :</w:t>
            </w:r>
          </w:p>
          <w:p w:rsidR="0078507E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51E9">
              <w:rPr>
                <w:rFonts w:asciiTheme="majorBidi" w:hAnsiTheme="majorBidi" w:cstheme="majorBidi"/>
                <w:sz w:val="24"/>
                <w:szCs w:val="24"/>
              </w:rPr>
              <w:t>8.4t=…kg</w:t>
            </w:r>
          </w:p>
          <w:p w:rsidR="000D51E9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51E9">
              <w:rPr>
                <w:rFonts w:asciiTheme="majorBidi" w:hAnsiTheme="majorBidi" w:cstheme="majorBidi"/>
                <w:sz w:val="24"/>
                <w:szCs w:val="24"/>
              </w:rPr>
              <w:t>1230g=…kg</w:t>
            </w:r>
          </w:p>
          <w:p w:rsidR="000D51E9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51E9">
              <w:rPr>
                <w:rFonts w:asciiTheme="majorBidi" w:hAnsiTheme="majorBidi" w:cstheme="majorBidi"/>
                <w:sz w:val="24"/>
                <w:szCs w:val="24"/>
              </w:rPr>
              <w:t>0.75q=….kg</w:t>
            </w:r>
          </w:p>
          <w:p w:rsidR="000D51E9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51E9">
              <w:rPr>
                <w:rFonts w:asciiTheme="majorBidi" w:hAnsiTheme="majorBidi" w:cstheme="majorBidi"/>
                <w:sz w:val="24"/>
                <w:szCs w:val="24"/>
              </w:rPr>
              <w:t>340mg=</w:t>
            </w:r>
            <w:proofErr w:type="gramStart"/>
            <w:r w:rsidRPr="000D51E9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  <w:r w:rsidRPr="000D51E9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  <w:p w:rsidR="000D51E9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51E9">
              <w:rPr>
                <w:rFonts w:asciiTheme="majorBidi" w:hAnsiTheme="majorBidi" w:cstheme="majorBidi"/>
                <w:sz w:val="24"/>
                <w:szCs w:val="24"/>
              </w:rPr>
              <w:t>18.2cg=</w:t>
            </w:r>
            <w:proofErr w:type="gramStart"/>
            <w:r w:rsidRPr="000D51E9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proofErr w:type="gramEnd"/>
            <w:r w:rsidRPr="000D51E9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  <w:p w:rsid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2.2kg=….g</w:t>
            </w:r>
          </w:p>
          <w:p w:rsid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Exercice 1</w:t>
            </w:r>
          </w:p>
          <w:p w:rsid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Texet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trou </w:t>
            </w:r>
          </w:p>
          <w:p w:rsidR="000D51E9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34</w:t>
            </w:r>
          </w:p>
        </w:tc>
      </w:tr>
    </w:tbl>
    <w:p w:rsidR="001101BA" w:rsidRPr="001B29DF" w:rsidRDefault="001101BA" w:rsidP="001B29DF">
      <w:pPr>
        <w:bidi/>
        <w:rPr>
          <w:b/>
          <w:bCs/>
          <w:color w:val="0070C0"/>
          <w:sz w:val="28"/>
          <w:szCs w:val="28"/>
        </w:rPr>
      </w:pPr>
      <w:bookmarkStart w:id="0" w:name="_GoBack"/>
      <w:bookmarkEnd w:id="0"/>
    </w:p>
    <w:sectPr w:rsidR="001101BA" w:rsidRPr="001B29DF" w:rsidSect="000E6768"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E0" w:rsidRDefault="006A0CE0" w:rsidP="0033044D">
      <w:pPr>
        <w:spacing w:after="0" w:line="240" w:lineRule="auto"/>
      </w:pPr>
      <w:r>
        <w:separator/>
      </w:r>
    </w:p>
  </w:endnote>
  <w:endnote w:type="continuationSeparator" w:id="0">
    <w:p w:rsidR="006A0CE0" w:rsidRDefault="006A0CE0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E0" w:rsidRDefault="006A0CE0" w:rsidP="0033044D">
      <w:pPr>
        <w:spacing w:after="0" w:line="240" w:lineRule="auto"/>
      </w:pPr>
      <w:r>
        <w:separator/>
      </w:r>
    </w:p>
  </w:footnote>
  <w:footnote w:type="continuationSeparator" w:id="0">
    <w:p w:rsidR="006A0CE0" w:rsidRDefault="006A0CE0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07A92"/>
    <w:rsid w:val="000176E1"/>
    <w:rsid w:val="00041F2A"/>
    <w:rsid w:val="00054DA8"/>
    <w:rsid w:val="000656E3"/>
    <w:rsid w:val="00065C5B"/>
    <w:rsid w:val="000662D4"/>
    <w:rsid w:val="00090D40"/>
    <w:rsid w:val="000A7F68"/>
    <w:rsid w:val="000C73A9"/>
    <w:rsid w:val="000D199D"/>
    <w:rsid w:val="000D51E9"/>
    <w:rsid w:val="000E6768"/>
    <w:rsid w:val="001101BA"/>
    <w:rsid w:val="001115F4"/>
    <w:rsid w:val="00127829"/>
    <w:rsid w:val="00136F55"/>
    <w:rsid w:val="001401E6"/>
    <w:rsid w:val="00140D84"/>
    <w:rsid w:val="00147E8F"/>
    <w:rsid w:val="0015008D"/>
    <w:rsid w:val="001510F2"/>
    <w:rsid w:val="00160B9F"/>
    <w:rsid w:val="001758E2"/>
    <w:rsid w:val="00180443"/>
    <w:rsid w:val="00180C69"/>
    <w:rsid w:val="001810AB"/>
    <w:rsid w:val="001929CC"/>
    <w:rsid w:val="001A5312"/>
    <w:rsid w:val="001A6F0D"/>
    <w:rsid w:val="001B29DF"/>
    <w:rsid w:val="001C5239"/>
    <w:rsid w:val="001D3FF1"/>
    <w:rsid w:val="001E3807"/>
    <w:rsid w:val="001E5140"/>
    <w:rsid w:val="001F0DF2"/>
    <w:rsid w:val="001F306D"/>
    <w:rsid w:val="00207701"/>
    <w:rsid w:val="00212ED1"/>
    <w:rsid w:val="0021510B"/>
    <w:rsid w:val="00224BF0"/>
    <w:rsid w:val="002257EC"/>
    <w:rsid w:val="002259B1"/>
    <w:rsid w:val="00236AB6"/>
    <w:rsid w:val="00253EF9"/>
    <w:rsid w:val="002546DA"/>
    <w:rsid w:val="00257ACE"/>
    <w:rsid w:val="00281A49"/>
    <w:rsid w:val="002C758B"/>
    <w:rsid w:val="002D2ADC"/>
    <w:rsid w:val="002D3550"/>
    <w:rsid w:val="002D4217"/>
    <w:rsid w:val="002D548E"/>
    <w:rsid w:val="002F1EE8"/>
    <w:rsid w:val="002F2387"/>
    <w:rsid w:val="002F6560"/>
    <w:rsid w:val="0030510F"/>
    <w:rsid w:val="00314F4D"/>
    <w:rsid w:val="00321336"/>
    <w:rsid w:val="00322CB2"/>
    <w:rsid w:val="00324AFF"/>
    <w:rsid w:val="0033044D"/>
    <w:rsid w:val="00331DD5"/>
    <w:rsid w:val="00336813"/>
    <w:rsid w:val="00344ED1"/>
    <w:rsid w:val="00347E13"/>
    <w:rsid w:val="00355BFD"/>
    <w:rsid w:val="00362552"/>
    <w:rsid w:val="00363B31"/>
    <w:rsid w:val="0037342D"/>
    <w:rsid w:val="00377F58"/>
    <w:rsid w:val="00382D2F"/>
    <w:rsid w:val="00387C46"/>
    <w:rsid w:val="0039427B"/>
    <w:rsid w:val="003963D6"/>
    <w:rsid w:val="003B6760"/>
    <w:rsid w:val="003C0C72"/>
    <w:rsid w:val="003F356B"/>
    <w:rsid w:val="003F7957"/>
    <w:rsid w:val="00403354"/>
    <w:rsid w:val="00411CC2"/>
    <w:rsid w:val="00411E40"/>
    <w:rsid w:val="0042299C"/>
    <w:rsid w:val="004318B9"/>
    <w:rsid w:val="00442597"/>
    <w:rsid w:val="004675C0"/>
    <w:rsid w:val="004833A4"/>
    <w:rsid w:val="004908AE"/>
    <w:rsid w:val="0049244A"/>
    <w:rsid w:val="00495F8F"/>
    <w:rsid w:val="004A3A67"/>
    <w:rsid w:val="004B0476"/>
    <w:rsid w:val="004B2E2D"/>
    <w:rsid w:val="004B5EE9"/>
    <w:rsid w:val="004C2ABF"/>
    <w:rsid w:val="004C5C42"/>
    <w:rsid w:val="004D3FC1"/>
    <w:rsid w:val="004D6069"/>
    <w:rsid w:val="004F4106"/>
    <w:rsid w:val="005366A5"/>
    <w:rsid w:val="00540A59"/>
    <w:rsid w:val="00543D7F"/>
    <w:rsid w:val="00564288"/>
    <w:rsid w:val="00565A5C"/>
    <w:rsid w:val="005721DB"/>
    <w:rsid w:val="00572D1D"/>
    <w:rsid w:val="00572FF0"/>
    <w:rsid w:val="005826BB"/>
    <w:rsid w:val="0058319B"/>
    <w:rsid w:val="00591905"/>
    <w:rsid w:val="00591FE5"/>
    <w:rsid w:val="005A1281"/>
    <w:rsid w:val="005B12D2"/>
    <w:rsid w:val="005B56CE"/>
    <w:rsid w:val="005B5D41"/>
    <w:rsid w:val="005C2A7D"/>
    <w:rsid w:val="005C64D8"/>
    <w:rsid w:val="005C6BC5"/>
    <w:rsid w:val="005D7B12"/>
    <w:rsid w:val="005F0E77"/>
    <w:rsid w:val="005F4F6C"/>
    <w:rsid w:val="00600469"/>
    <w:rsid w:val="0060217F"/>
    <w:rsid w:val="006077CF"/>
    <w:rsid w:val="00607AE9"/>
    <w:rsid w:val="006119DC"/>
    <w:rsid w:val="006171F2"/>
    <w:rsid w:val="00636530"/>
    <w:rsid w:val="00637013"/>
    <w:rsid w:val="006417C1"/>
    <w:rsid w:val="00665199"/>
    <w:rsid w:val="006748C0"/>
    <w:rsid w:val="006917A0"/>
    <w:rsid w:val="006A0CE0"/>
    <w:rsid w:val="006A76B2"/>
    <w:rsid w:val="006B3E34"/>
    <w:rsid w:val="006D2D25"/>
    <w:rsid w:val="006F7548"/>
    <w:rsid w:val="0073365C"/>
    <w:rsid w:val="00742323"/>
    <w:rsid w:val="00747A1C"/>
    <w:rsid w:val="00756AB0"/>
    <w:rsid w:val="0076142A"/>
    <w:rsid w:val="00767E53"/>
    <w:rsid w:val="00776640"/>
    <w:rsid w:val="00777D1F"/>
    <w:rsid w:val="0078507E"/>
    <w:rsid w:val="00790BA7"/>
    <w:rsid w:val="007B2CEF"/>
    <w:rsid w:val="007B6927"/>
    <w:rsid w:val="007C0936"/>
    <w:rsid w:val="007C2BB0"/>
    <w:rsid w:val="007C50CE"/>
    <w:rsid w:val="007C5B60"/>
    <w:rsid w:val="007D554C"/>
    <w:rsid w:val="007D6B50"/>
    <w:rsid w:val="007E033D"/>
    <w:rsid w:val="007E3F74"/>
    <w:rsid w:val="007F0B01"/>
    <w:rsid w:val="007F2A74"/>
    <w:rsid w:val="008122A2"/>
    <w:rsid w:val="0083164F"/>
    <w:rsid w:val="00834E86"/>
    <w:rsid w:val="0084026F"/>
    <w:rsid w:val="00840E52"/>
    <w:rsid w:val="0084792B"/>
    <w:rsid w:val="00852FE0"/>
    <w:rsid w:val="0086721F"/>
    <w:rsid w:val="00870CCA"/>
    <w:rsid w:val="008718FF"/>
    <w:rsid w:val="00871B7B"/>
    <w:rsid w:val="00873D23"/>
    <w:rsid w:val="00884258"/>
    <w:rsid w:val="00896C9B"/>
    <w:rsid w:val="008B732E"/>
    <w:rsid w:val="008C1740"/>
    <w:rsid w:val="008D140F"/>
    <w:rsid w:val="008D2CDC"/>
    <w:rsid w:val="008D52D5"/>
    <w:rsid w:val="008D54EF"/>
    <w:rsid w:val="008E131A"/>
    <w:rsid w:val="008E2D7B"/>
    <w:rsid w:val="009112B4"/>
    <w:rsid w:val="0092128B"/>
    <w:rsid w:val="0093159E"/>
    <w:rsid w:val="009423A1"/>
    <w:rsid w:val="00962C82"/>
    <w:rsid w:val="0096651F"/>
    <w:rsid w:val="00974463"/>
    <w:rsid w:val="00980D3D"/>
    <w:rsid w:val="00990ECE"/>
    <w:rsid w:val="009B6909"/>
    <w:rsid w:val="009C74F2"/>
    <w:rsid w:val="009D0278"/>
    <w:rsid w:val="009D46D5"/>
    <w:rsid w:val="009F33A7"/>
    <w:rsid w:val="00A111D5"/>
    <w:rsid w:val="00A12152"/>
    <w:rsid w:val="00A14E4E"/>
    <w:rsid w:val="00A22918"/>
    <w:rsid w:val="00A53FFB"/>
    <w:rsid w:val="00A57B04"/>
    <w:rsid w:val="00A61E4F"/>
    <w:rsid w:val="00A71ED6"/>
    <w:rsid w:val="00A8355B"/>
    <w:rsid w:val="00A91263"/>
    <w:rsid w:val="00AC0CA8"/>
    <w:rsid w:val="00AC2805"/>
    <w:rsid w:val="00AE59CE"/>
    <w:rsid w:val="00AE6937"/>
    <w:rsid w:val="00AF0CB7"/>
    <w:rsid w:val="00AF247D"/>
    <w:rsid w:val="00B067AE"/>
    <w:rsid w:val="00B13CBE"/>
    <w:rsid w:val="00B36DE3"/>
    <w:rsid w:val="00B43DD4"/>
    <w:rsid w:val="00B76EC7"/>
    <w:rsid w:val="00B822A5"/>
    <w:rsid w:val="00B93D26"/>
    <w:rsid w:val="00BA22BE"/>
    <w:rsid w:val="00BC5A06"/>
    <w:rsid w:val="00BD3D69"/>
    <w:rsid w:val="00BD4ABD"/>
    <w:rsid w:val="00BD4F21"/>
    <w:rsid w:val="00BE289E"/>
    <w:rsid w:val="00BF292F"/>
    <w:rsid w:val="00BF7E0E"/>
    <w:rsid w:val="00C04B6A"/>
    <w:rsid w:val="00C12F4A"/>
    <w:rsid w:val="00C14D44"/>
    <w:rsid w:val="00C22F6F"/>
    <w:rsid w:val="00C41BC2"/>
    <w:rsid w:val="00C42A63"/>
    <w:rsid w:val="00C52737"/>
    <w:rsid w:val="00C614CA"/>
    <w:rsid w:val="00C64C54"/>
    <w:rsid w:val="00C73E48"/>
    <w:rsid w:val="00C8092A"/>
    <w:rsid w:val="00C83BCD"/>
    <w:rsid w:val="00C852AE"/>
    <w:rsid w:val="00C95FEF"/>
    <w:rsid w:val="00CA2E16"/>
    <w:rsid w:val="00CD46AB"/>
    <w:rsid w:val="00CE3B72"/>
    <w:rsid w:val="00CF2F15"/>
    <w:rsid w:val="00CF60CD"/>
    <w:rsid w:val="00D167A2"/>
    <w:rsid w:val="00D16D3F"/>
    <w:rsid w:val="00D1726C"/>
    <w:rsid w:val="00D601D5"/>
    <w:rsid w:val="00D628E6"/>
    <w:rsid w:val="00D62B94"/>
    <w:rsid w:val="00D66293"/>
    <w:rsid w:val="00D808EB"/>
    <w:rsid w:val="00D92A19"/>
    <w:rsid w:val="00D9321A"/>
    <w:rsid w:val="00DA117A"/>
    <w:rsid w:val="00DD3617"/>
    <w:rsid w:val="00DE3D7D"/>
    <w:rsid w:val="00DF5789"/>
    <w:rsid w:val="00E05A6E"/>
    <w:rsid w:val="00E06C71"/>
    <w:rsid w:val="00E201E6"/>
    <w:rsid w:val="00E46A42"/>
    <w:rsid w:val="00E62240"/>
    <w:rsid w:val="00E67BFC"/>
    <w:rsid w:val="00E93CFC"/>
    <w:rsid w:val="00EC30C9"/>
    <w:rsid w:val="00EC5B79"/>
    <w:rsid w:val="00ED37EE"/>
    <w:rsid w:val="00ED7138"/>
    <w:rsid w:val="00EE0DC0"/>
    <w:rsid w:val="00EE2686"/>
    <w:rsid w:val="00F061FF"/>
    <w:rsid w:val="00F50FDA"/>
    <w:rsid w:val="00F60DFA"/>
    <w:rsid w:val="00F6273C"/>
    <w:rsid w:val="00F65503"/>
    <w:rsid w:val="00F73BE8"/>
    <w:rsid w:val="00F77150"/>
    <w:rsid w:val="00F807A9"/>
    <w:rsid w:val="00F94315"/>
    <w:rsid w:val="00FA18BB"/>
    <w:rsid w:val="00FB260D"/>
    <w:rsid w:val="00FC54CE"/>
    <w:rsid w:val="00FD0517"/>
    <w:rsid w:val="00FD6A43"/>
    <w:rsid w:val="00FD6EE7"/>
    <w:rsid w:val="00FD7ADD"/>
    <w:rsid w:val="00FE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45B3-24F8-46C1-8A80-4EAAA240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hp</cp:lastModifiedBy>
  <cp:revision>147</cp:revision>
  <cp:lastPrinted>2018-09-12T22:04:00Z</cp:lastPrinted>
  <dcterms:created xsi:type="dcterms:W3CDTF">2015-07-01T17:27:00Z</dcterms:created>
  <dcterms:modified xsi:type="dcterms:W3CDTF">2020-09-07T23:16:00Z</dcterms:modified>
</cp:coreProperties>
</file>