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014E22" w:rsidRDefault="0033044D" w:rsidP="00014E22">
      <w:pPr>
        <w:bidi/>
        <w:jc w:val="right"/>
        <w:rPr>
          <w:b/>
          <w:bCs/>
          <w:color w:val="0070C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2342"/>
        <w:gridCol w:w="1835"/>
        <w:gridCol w:w="1465"/>
        <w:gridCol w:w="1817"/>
        <w:gridCol w:w="1876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014E22" w:rsidRDefault="004A0FF1" w:rsidP="004A0FF1">
            <w:pPr>
              <w:pStyle w:val="Titre1"/>
              <w:spacing w:before="0" w:after="150"/>
              <w:jc w:val="center"/>
              <w:textAlignment w:val="baseline"/>
              <w:outlineLvl w:val="0"/>
              <w:rPr>
                <w:rFonts w:asciiTheme="majorBidi" w:hAnsiTheme="majorBidi"/>
                <w:b/>
                <w:bCs/>
                <w:color w:val="FF0000"/>
                <w:szCs w:val="20"/>
                <w:rtl/>
              </w:rPr>
            </w:pPr>
            <w:r w:rsidRPr="00014E22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ab/>
            </w:r>
            <w:r w:rsidR="000328C8" w:rsidRPr="00014E22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>Leçon 7</w:t>
            </w:r>
            <w:r w:rsidRPr="00014E22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> :</w:t>
            </w:r>
            <w:r w:rsidR="003D6CE0" w:rsidRPr="00014E22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 xml:space="preserve"> </w:t>
            </w:r>
            <w:r w:rsidR="000328C8" w:rsidRPr="00014E22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 xml:space="preserve">la modèle particulaire de la matière 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08587B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B36DE3"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F7715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276"/>
        <w:gridCol w:w="2410"/>
        <w:gridCol w:w="4394"/>
        <w:gridCol w:w="1617"/>
      </w:tblGrid>
      <w:tr w:rsidR="00EE2686" w:rsidRPr="00A71ED6" w:rsidTr="00F2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276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2410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4394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F2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276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328C8" w:rsidRDefault="00767E53" w:rsidP="000328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032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savoir le </w:t>
            </w:r>
            <w:r w:rsidR="005E3F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modèle</w:t>
            </w:r>
            <w:r w:rsidR="000328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particulaire de la matière.</w:t>
            </w:r>
          </w:p>
          <w:p w:rsidR="000328C8" w:rsidRPr="00F94315" w:rsidRDefault="000328C8" w:rsidP="000328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expliquer les états de la matière avec le modèle particulaire de la matière. </w:t>
            </w:r>
          </w:p>
          <w:p w:rsidR="00434C19" w:rsidRPr="00F94315" w:rsidRDefault="00434C19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4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 fin de la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E3B72"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è</w:t>
            </w:r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 session du 1.AC, A propos du support écrit </w:t>
            </w:r>
            <w:proofErr w:type="spellStart"/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où</w:t>
            </w:r>
            <w:proofErr w:type="spellEnd"/>
            <w:r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bien des photos, il permet l’élève de l’analyse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techniques intègres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il s’agit de l’eau et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états physiques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matière, transformation physique de la matière, les mélanges traitement des eaux.</w:t>
            </w:r>
          </w:p>
        </w:tc>
        <w:tc>
          <w:tcPr>
            <w:tcW w:w="1617" w:type="dxa"/>
            <w:shd w:val="clear" w:color="auto" w:fill="auto"/>
          </w:tcPr>
          <w:p w:rsidR="002257EC" w:rsidRDefault="00D62B94" w:rsidP="00E5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r w:rsidR="002405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</w:t>
            </w:r>
            <w:r w:rsidR="001239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particule et la différence entre les trois </w:t>
            </w:r>
            <w:proofErr w:type="gramStart"/>
            <w:r w:rsidR="001239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état</w:t>
            </w:r>
            <w:proofErr w:type="gramEnd"/>
            <w:r w:rsidR="001239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matière.</w:t>
            </w:r>
          </w:p>
          <w:p w:rsidR="00123927" w:rsidRPr="00840E52" w:rsidRDefault="00123927" w:rsidP="00E5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C5B60" w:rsidRPr="007C5B60" w:rsidRDefault="00314F4D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7C5B60" w:rsidRPr="007C5B60">
        <w:rPr>
          <w:rFonts w:asciiTheme="majorBidi" w:hAnsiTheme="majorBidi" w:cstheme="majorBidi"/>
          <w:sz w:val="24"/>
          <w:szCs w:val="24"/>
        </w:rPr>
        <w:t>on considère l’eau</w:t>
      </w:r>
      <w:r w:rsidR="00FC54CE">
        <w:rPr>
          <w:rFonts w:asciiTheme="majorBidi" w:hAnsiTheme="majorBidi" w:cstheme="majorBidi"/>
          <w:sz w:val="24"/>
          <w:szCs w:val="24"/>
        </w:rPr>
        <w:t xml:space="preserve"> c’est une matière plus existe dans la nature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FC54CE" w:rsidRDefault="00504B8B" w:rsidP="00504B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les états de l’eau existe dans la nature</w:t>
      </w:r>
      <w:r w:rsidR="00FC54C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Et quel modèle particulaire de ces états.</w:t>
      </w:r>
      <w:r w:rsidR="00FC54CE">
        <w:rPr>
          <w:rFonts w:asciiTheme="majorBidi" w:hAnsiTheme="majorBidi" w:cstheme="majorBidi"/>
          <w:sz w:val="24"/>
          <w:szCs w:val="24"/>
        </w:rPr>
        <w:t xml:space="preserve"> </w:t>
      </w:r>
      <w:r w:rsidR="0088425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60"/>
        <w:gridCol w:w="3364"/>
        <w:gridCol w:w="4740"/>
        <w:gridCol w:w="1577"/>
      </w:tblGrid>
      <w:tr w:rsidR="00871B7B" w:rsidTr="00ED0E7D">
        <w:trPr>
          <w:trHeight w:val="150"/>
          <w:jc w:val="center"/>
        </w:trPr>
        <w:tc>
          <w:tcPr>
            <w:tcW w:w="1668" w:type="dxa"/>
            <w:vMerge w:val="restart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242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431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652457" w:rsidTr="00ED0E7D">
        <w:trPr>
          <w:trHeight w:val="120"/>
          <w:jc w:val="center"/>
        </w:trPr>
        <w:tc>
          <w:tcPr>
            <w:tcW w:w="1668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4814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431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457" w:rsidTr="00ED0E7D">
        <w:trPr>
          <w:jc w:val="center"/>
        </w:trPr>
        <w:tc>
          <w:tcPr>
            <w:tcW w:w="1668" w:type="dxa"/>
          </w:tcPr>
          <w:p w:rsidR="0084792B" w:rsidRDefault="00165DD4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I.modéle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particulaire. </w:t>
            </w:r>
          </w:p>
          <w:p w:rsidR="00165DD4" w:rsidRDefault="00165DD4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973C9" w:rsidRDefault="005973C9" w:rsidP="005973C9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</w:p>
          <w:p w:rsidR="00ED0E7D" w:rsidRDefault="00ED0E7D" w:rsidP="005973C9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</w:p>
          <w:p w:rsidR="00ED0E7D" w:rsidRDefault="00ED0E7D" w:rsidP="005973C9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</w:p>
          <w:p w:rsidR="00ED0E7D" w:rsidRDefault="00ED0E7D" w:rsidP="005973C9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</w:p>
          <w:p w:rsidR="00ED0E7D" w:rsidRDefault="00ED0E7D" w:rsidP="005973C9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</w:p>
          <w:p w:rsidR="00ED0E7D" w:rsidRPr="00DD631A" w:rsidRDefault="00ED0E7D" w:rsidP="005973C9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Pr="00C64C54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961C4" w:rsidRDefault="0091367F" w:rsidP="001961C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</w:pPr>
            <w:r w:rsidRPr="00ED0E7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II-</w:t>
            </w:r>
            <w:r w:rsidR="00ED0E7D" w:rsidRPr="00ED0E7D"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  <w:t xml:space="preserve"> l’explication des trois états de la matière à l’aide du modèle particulaire </w:t>
            </w:r>
          </w:p>
          <w:p w:rsidR="001961C4" w:rsidRPr="001961C4" w:rsidRDefault="001961C4" w:rsidP="001961C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</w:pPr>
            <w:r w:rsidRPr="001961C4">
              <w:rPr>
                <w:color w:val="00B050"/>
                <w:sz w:val="24"/>
                <w:szCs w:val="24"/>
                <w:lang w:bidi="ar-MA"/>
              </w:rPr>
              <w:t>Etat physique solide</w:t>
            </w: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Pr="001961C4" w:rsidRDefault="001961C4" w:rsidP="001961C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</w:pPr>
            <w:r w:rsidRPr="001961C4">
              <w:rPr>
                <w:color w:val="00B050"/>
                <w:sz w:val="24"/>
                <w:szCs w:val="24"/>
                <w:lang w:bidi="ar-MA"/>
              </w:rPr>
              <w:t xml:space="preserve">Etat physique </w:t>
            </w:r>
            <w:r>
              <w:rPr>
                <w:color w:val="00B050"/>
                <w:sz w:val="24"/>
                <w:szCs w:val="24"/>
                <w:lang w:bidi="ar-MA"/>
              </w:rPr>
              <w:lastRenderedPageBreak/>
              <w:t>liquide</w:t>
            </w: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1961C4" w:rsidRPr="001961C4" w:rsidRDefault="001961C4" w:rsidP="001961C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</w:pPr>
            <w:r w:rsidRPr="001961C4">
              <w:rPr>
                <w:color w:val="00B050"/>
                <w:sz w:val="24"/>
                <w:szCs w:val="24"/>
                <w:lang w:bidi="ar-MA"/>
              </w:rPr>
              <w:t xml:space="preserve">Etat physique </w:t>
            </w:r>
            <w:r>
              <w:rPr>
                <w:color w:val="00B050"/>
                <w:sz w:val="24"/>
                <w:szCs w:val="24"/>
                <w:lang w:bidi="ar-MA"/>
              </w:rPr>
              <w:t>liquide</w:t>
            </w:r>
          </w:p>
          <w:p w:rsidR="001961C4" w:rsidRDefault="001961C4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Default="007B6A4C" w:rsidP="005253D4">
            <w:pPr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</w:p>
          <w:p w:rsidR="007B6A4C" w:rsidRPr="007B6A4C" w:rsidRDefault="007B6A4C" w:rsidP="005253D4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A4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III-conclusion</w:t>
            </w:r>
          </w:p>
        </w:tc>
        <w:tc>
          <w:tcPr>
            <w:tcW w:w="3428" w:type="dxa"/>
          </w:tcPr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Combien d’état de la matière existe.</w:t>
            </w:r>
          </w:p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-Indiquer combien de formes correspondant à la matière.</w:t>
            </w:r>
          </w:p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-Indiquer les corps qui sont à l’état.</w:t>
            </w:r>
          </w:p>
          <w:p w:rsidR="00165DD4" w:rsidRDefault="00165DD4" w:rsidP="00165D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73C9" w:rsidRDefault="00165DD4" w:rsidP="00867F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Donner ces états physiques. </w:t>
            </w:r>
          </w:p>
          <w:p w:rsidR="00E67BFC" w:rsidRDefault="00867FC6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Qu’-est-ce-que la matière </w:t>
            </w:r>
          </w:p>
          <w:p w:rsidR="00DD631A" w:rsidRDefault="00DD631A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FC6" w:rsidRDefault="00867FC6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FC6" w:rsidRDefault="00867FC6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631A" w:rsidRDefault="00867FC6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Quel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forme de particule dans un corps pur.</w:t>
            </w:r>
          </w:p>
          <w:p w:rsidR="00C66422" w:rsidRDefault="00C66422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Default="00C66422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-comment représente les formes de particules. </w:t>
            </w:r>
          </w:p>
          <w:p w:rsidR="005253D4" w:rsidRDefault="005253D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53D4" w:rsidRDefault="005253D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représenter le modèle particulaire de l’état solide.</w:t>
            </w: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représenter le modèle particulaire de l’état liquide</w:t>
            </w: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Comment représenter le modèle particulaire de l’état Gazeux </w:t>
            </w: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6A4C" w:rsidRPr="00ED0E7D" w:rsidRDefault="007B6A4C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Quel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situation de ces états </w:t>
            </w:r>
          </w:p>
        </w:tc>
        <w:tc>
          <w:tcPr>
            <w:tcW w:w="4814" w:type="dxa"/>
          </w:tcPr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-la matière existe sous trois états physiques. </w:t>
            </w:r>
          </w:p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-la matière existe sous trois formes.</w:t>
            </w:r>
          </w:p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Solide : </w:t>
            </w:r>
          </w:p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Liquide :</w:t>
            </w:r>
          </w:p>
          <w:p w:rsidR="008D7EB2" w:rsidRDefault="008D7EB2" w:rsidP="008D7EB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Gazeux :</w:t>
            </w:r>
          </w:p>
          <w:p w:rsidR="00BD496A" w:rsidRDefault="008D7EB2" w:rsidP="00867F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-l’état solide, l’état liquide, l’état gazeux. </w:t>
            </w:r>
          </w:p>
          <w:p w:rsidR="00867FC6" w:rsidRDefault="00867FC6" w:rsidP="00867FC6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67F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La matière est constituée de particules extrêmement petites invisibles à l’œil nu indéformables et qui ne se brisent pas.</w:t>
            </w:r>
          </w:p>
          <w:p w:rsidR="00867FC6" w:rsidRPr="00867FC6" w:rsidRDefault="00867FC6" w:rsidP="00867FC6">
            <w:pPr>
              <w:spacing w:after="200" w:line="276" w:lineRule="auto"/>
              <w:jc w:val="both"/>
              <w:rPr>
                <w:rFonts w:asciiTheme="majorBidi" w:hAnsiTheme="majorBidi" w:cstheme="majorBidi"/>
                <w:lang w:bidi="ar-MA"/>
              </w:rPr>
            </w:pPr>
            <w:r w:rsidRPr="00867F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Dans un corps pur toutes les particules sont identiques.</w:t>
            </w:r>
          </w:p>
          <w:p w:rsidR="00867FC6" w:rsidRDefault="00C66422" w:rsidP="00867FC6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-On représente les formes des particules par des boucles ou un triangle ou un cube.</w:t>
            </w:r>
          </w:p>
          <w:p w:rsidR="00ED0E7D" w:rsidRDefault="00ED0E7D" w:rsidP="00867FC6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C66422" w:rsidRDefault="001961C4" w:rsidP="001961C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961C4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1855" cy="792480"/>
                  <wp:effectExtent l="0" t="0" r="4445" b="7620"/>
                  <wp:docPr id="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61C4" w:rsidRDefault="001961C4" w:rsidP="001961C4">
            <w:pPr>
              <w:jc w:val="both"/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</w:pPr>
            <w:r w:rsidRPr="001961C4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l’</w:t>
            </w:r>
            <w:hyperlink r:id="rId11" w:history="1">
              <w:r w:rsidRPr="001961C4">
                <w:rPr>
                  <w:rFonts w:asciiTheme="majorBidi" w:hAnsiTheme="majorBidi" w:cstheme="majorBidi"/>
                  <w:sz w:val="24"/>
                  <w:szCs w:val="24"/>
                  <w:lang w:bidi="ar-MA"/>
                </w:rPr>
                <w:t>état solide</w:t>
              </w:r>
            </w:hyperlink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 les particules sont très proches les unes des autres (presque entassées) et l’espace qu’elles occupent est faible. On dit qu’elles ont une disposition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t>compacte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br/>
              <w:t>Chaque </w:t>
            </w:r>
            <w:hyperlink r:id="rId12" w:history="1">
              <w:r w:rsidRPr="001961C4">
                <w:rPr>
                  <w:rFonts w:asciiTheme="majorBidi" w:hAnsiTheme="majorBidi" w:cstheme="majorBidi"/>
                  <w:sz w:val="24"/>
                  <w:szCs w:val="24"/>
                  <w:lang w:bidi="ar-MA"/>
                </w:rPr>
                <w:t>particule</w:t>
              </w:r>
            </w:hyperlink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 possède une place fixe. I s’agit d’une disposition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t>ordonnée</w:t>
            </w:r>
            <w:r w:rsidRPr="001961C4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>.</w:t>
            </w:r>
          </w:p>
          <w:p w:rsidR="001961C4" w:rsidRPr="001961C4" w:rsidRDefault="001961C4" w:rsidP="001961C4">
            <w:pPr>
              <w:shd w:val="clear" w:color="auto" w:fill="FFFFFF"/>
              <w:spacing w:line="330" w:lineRule="atLeast"/>
              <w:textAlignment w:val="baseline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Les particules sont toujours très proches les unes des autres et forment un ensemble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lastRenderedPageBreak/>
              <w:t>compact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 Par contre, les </w:t>
            </w:r>
            <w:hyperlink r:id="rId13" w:history="1">
              <w:r w:rsidRPr="001961C4">
                <w:rPr>
                  <w:rFonts w:asciiTheme="majorBidi" w:hAnsiTheme="majorBidi" w:cstheme="majorBidi"/>
                  <w:sz w:val="24"/>
                  <w:szCs w:val="24"/>
                  <w:lang w:bidi="ar-MA"/>
                </w:rPr>
                <w:t>particules </w:t>
              </w:r>
            </w:hyperlink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ne sont plus fixes, elles peuvent se déplacer en glissant les unes sur les autres et sont légèrement agitées : elles sont organisées de manière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t>désordonnée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1961C4" w:rsidRPr="001961C4" w:rsidRDefault="001961C4" w:rsidP="00ED0E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61C4" w:rsidRDefault="001961C4" w:rsidP="001961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61C4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16990" cy="1329055"/>
                  <wp:effectExtent l="0" t="0" r="0" b="4445"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61C4" w:rsidRPr="001961C4" w:rsidRDefault="001961C4" w:rsidP="001961C4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Les particules sont relativement éloignées entre elles et forment un ensemble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t>dispersé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br/>
              <w:t xml:space="preserve">Elles sont fortement agitées et se déplacent très rapidement de manière </w:t>
            </w:r>
            <w:r w:rsidRPr="001961C4"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  <w:t>désordonnée</w:t>
            </w:r>
            <w:r w:rsidRPr="001961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1961C4" w:rsidRDefault="001961C4" w:rsidP="001961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61C4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8205" cy="1237615"/>
                  <wp:effectExtent l="0" t="0" r="0" b="635"/>
                  <wp:docPr id="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A4C" w:rsidRPr="007B6A4C" w:rsidRDefault="007B6A4C" w:rsidP="007B6A4C">
            <w:pPr>
              <w:shd w:val="clear" w:color="auto" w:fill="FFFFFF"/>
              <w:spacing w:after="20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B6A4C">
              <w:rPr>
                <w:rFonts w:asciiTheme="majorBidi" w:eastAsia="Times New Roman" w:hAnsiTheme="majorBidi" w:cstheme="majorBidi"/>
                <w:sz w:val="24"/>
                <w:szCs w:val="24"/>
              </w:rPr>
              <w:t>L’état solide est compact et ordonné.</w:t>
            </w:r>
          </w:p>
          <w:p w:rsidR="007B6A4C" w:rsidRPr="007B6A4C" w:rsidRDefault="007B6A4C" w:rsidP="007B6A4C">
            <w:pPr>
              <w:shd w:val="clear" w:color="auto" w:fill="FFFFFF"/>
              <w:spacing w:after="20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B6A4C">
              <w:rPr>
                <w:rFonts w:asciiTheme="majorBidi" w:eastAsia="Times New Roman" w:hAnsiTheme="majorBidi" w:cstheme="majorBidi"/>
                <w:sz w:val="24"/>
                <w:szCs w:val="24"/>
              </w:rPr>
              <w:t>L’état liquide est compact et désordonné.</w:t>
            </w:r>
          </w:p>
          <w:p w:rsidR="007B6A4C" w:rsidRPr="007B6A4C" w:rsidRDefault="007B6A4C" w:rsidP="007B6A4C">
            <w:pPr>
              <w:shd w:val="clear" w:color="auto" w:fill="FFFFFF"/>
              <w:spacing w:after="20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B6A4C">
              <w:rPr>
                <w:rFonts w:asciiTheme="majorBidi" w:eastAsia="Times New Roman" w:hAnsiTheme="majorBidi" w:cstheme="majorBidi"/>
                <w:sz w:val="24"/>
                <w:szCs w:val="24"/>
              </w:rPr>
              <w:t>L’état gazeux est dispersé et désordonné.</w:t>
            </w:r>
          </w:p>
        </w:tc>
        <w:tc>
          <w:tcPr>
            <w:tcW w:w="1431" w:type="dxa"/>
          </w:tcPr>
          <w:p w:rsidR="00F60DFA" w:rsidRPr="00AA3479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47E13" w:rsidRPr="00AA3479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d’application </w:t>
            </w:r>
          </w:p>
          <w:p w:rsidR="00754817" w:rsidRPr="00CA4EE3" w:rsidRDefault="00754817" w:rsidP="00754817">
            <w:pPr>
              <w:jc w:val="both"/>
              <w:rPr>
                <w:rFonts w:asciiTheme="majorBidi" w:hAnsiTheme="majorBidi" w:cstheme="majorBidi"/>
              </w:rPr>
            </w:pPr>
          </w:p>
          <w:p w:rsidR="00754817" w:rsidRPr="005541BE" w:rsidRDefault="00754817" w:rsidP="0075481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5541BE">
              <w:rPr>
                <w:rFonts w:asciiTheme="majorBidi" w:hAnsiTheme="majorBidi" w:cstheme="majorBidi"/>
                <w:color w:val="000000"/>
              </w:rPr>
              <w:t>On a modélisé l’eau sous ses trois états physiques.</w:t>
            </w:r>
          </w:p>
          <w:p w:rsidR="00754817" w:rsidRPr="005541BE" w:rsidRDefault="00754817" w:rsidP="00754817">
            <w:pPr>
              <w:pStyle w:val="NormalWeb"/>
              <w:numPr>
                <w:ilvl w:val="0"/>
                <w:numId w:val="20"/>
              </w:numPr>
              <w:tabs>
                <w:tab w:val="left" w:pos="9060"/>
              </w:tabs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5541BE">
              <w:rPr>
                <w:rFonts w:asciiTheme="majorBidi" w:hAnsiTheme="majorBidi" w:cstheme="majorBidi"/>
                <w:color w:val="000000"/>
              </w:rPr>
              <w:t>Que représentent les triangles?</w:t>
            </w:r>
          </w:p>
          <w:p w:rsidR="00754817" w:rsidRPr="005541BE" w:rsidRDefault="00754817" w:rsidP="00754817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2-</w:t>
            </w:r>
            <w:r w:rsidRPr="005541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Pour chaque modèle, indique l’état de l’eau.</w:t>
            </w:r>
          </w:p>
          <w:p w:rsidR="000D51E9" w:rsidRPr="000D51E9" w:rsidRDefault="00CA4EE3" w:rsidP="007548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EE3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1101BA" w:rsidRDefault="001101BA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E22" w:rsidRPr="0033044D" w:rsidRDefault="00014E22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14E22" w:rsidRPr="0033044D" w:rsidSect="000E6768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A4" w:rsidRDefault="003145A4" w:rsidP="0033044D">
      <w:pPr>
        <w:spacing w:after="0" w:line="240" w:lineRule="auto"/>
      </w:pPr>
      <w:r>
        <w:separator/>
      </w:r>
    </w:p>
  </w:endnote>
  <w:endnote w:type="continuationSeparator" w:id="0">
    <w:p w:rsidR="003145A4" w:rsidRDefault="003145A4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A4" w:rsidRDefault="003145A4" w:rsidP="0033044D">
      <w:pPr>
        <w:spacing w:after="0" w:line="240" w:lineRule="auto"/>
      </w:pPr>
      <w:r>
        <w:separator/>
      </w:r>
    </w:p>
  </w:footnote>
  <w:footnote w:type="continuationSeparator" w:id="0">
    <w:p w:rsidR="003145A4" w:rsidRDefault="003145A4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51"/>
    <w:multiLevelType w:val="hybridMultilevel"/>
    <w:tmpl w:val="9020C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9F1"/>
    <w:multiLevelType w:val="hybridMultilevel"/>
    <w:tmpl w:val="4112E584"/>
    <w:lvl w:ilvl="0" w:tplc="9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1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5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0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4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2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63227C"/>
    <w:multiLevelType w:val="hybridMultilevel"/>
    <w:tmpl w:val="8FFC4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5396"/>
    <w:multiLevelType w:val="hybridMultilevel"/>
    <w:tmpl w:val="5DB8D9A6"/>
    <w:lvl w:ilvl="0" w:tplc="040C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02E8"/>
    <w:multiLevelType w:val="hybridMultilevel"/>
    <w:tmpl w:val="1D9AF9C2"/>
    <w:lvl w:ilvl="0" w:tplc="4BE86E4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637DC"/>
    <w:multiLevelType w:val="hybridMultilevel"/>
    <w:tmpl w:val="1B7A6F4E"/>
    <w:lvl w:ilvl="0" w:tplc="5D90EE0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2141A57"/>
    <w:multiLevelType w:val="hybridMultilevel"/>
    <w:tmpl w:val="61AC8024"/>
    <w:lvl w:ilvl="0" w:tplc="6A328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1F608C"/>
    <w:multiLevelType w:val="hybridMultilevel"/>
    <w:tmpl w:val="376E035A"/>
    <w:lvl w:ilvl="0" w:tplc="DC22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E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A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C2B04"/>
    <w:multiLevelType w:val="hybridMultilevel"/>
    <w:tmpl w:val="7286D7BA"/>
    <w:lvl w:ilvl="0" w:tplc="5832EB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C7A00"/>
    <w:multiLevelType w:val="hybridMultilevel"/>
    <w:tmpl w:val="8C88B11E"/>
    <w:lvl w:ilvl="0" w:tplc="E98C4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C12C4"/>
    <w:multiLevelType w:val="hybridMultilevel"/>
    <w:tmpl w:val="06DA50F0"/>
    <w:lvl w:ilvl="0" w:tplc="B0AC4C5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B1E127C"/>
    <w:multiLevelType w:val="hybridMultilevel"/>
    <w:tmpl w:val="8B92CDCA"/>
    <w:lvl w:ilvl="0" w:tplc="4F3C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9"/>
  </w:num>
  <w:num w:numId="12">
    <w:abstractNumId w:val="8"/>
  </w:num>
  <w:num w:numId="13">
    <w:abstractNumId w:val="11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16"/>
  </w:num>
  <w:num w:numId="19">
    <w:abstractNumId w:val="5"/>
  </w:num>
  <w:num w:numId="20">
    <w:abstractNumId w:val="0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4E22"/>
    <w:rsid w:val="000176E1"/>
    <w:rsid w:val="000328C8"/>
    <w:rsid w:val="00041F2A"/>
    <w:rsid w:val="00054DA8"/>
    <w:rsid w:val="000656E3"/>
    <w:rsid w:val="00065C5B"/>
    <w:rsid w:val="000662D4"/>
    <w:rsid w:val="0008587B"/>
    <w:rsid w:val="00090D40"/>
    <w:rsid w:val="000A7F68"/>
    <w:rsid w:val="000C73A9"/>
    <w:rsid w:val="000D199D"/>
    <w:rsid w:val="000D51E9"/>
    <w:rsid w:val="000E6768"/>
    <w:rsid w:val="001101BA"/>
    <w:rsid w:val="001115F4"/>
    <w:rsid w:val="00123927"/>
    <w:rsid w:val="00127829"/>
    <w:rsid w:val="00136F55"/>
    <w:rsid w:val="001401E6"/>
    <w:rsid w:val="00140939"/>
    <w:rsid w:val="00140D84"/>
    <w:rsid w:val="00147E8F"/>
    <w:rsid w:val="0015008D"/>
    <w:rsid w:val="001510F2"/>
    <w:rsid w:val="00160B9F"/>
    <w:rsid w:val="00165DD4"/>
    <w:rsid w:val="001758E2"/>
    <w:rsid w:val="00180443"/>
    <w:rsid w:val="00180C69"/>
    <w:rsid w:val="001810AB"/>
    <w:rsid w:val="001929CC"/>
    <w:rsid w:val="001961C4"/>
    <w:rsid w:val="001A0E28"/>
    <w:rsid w:val="001A5312"/>
    <w:rsid w:val="001A6F0D"/>
    <w:rsid w:val="001C5239"/>
    <w:rsid w:val="001C681A"/>
    <w:rsid w:val="001D3FF1"/>
    <w:rsid w:val="001E3807"/>
    <w:rsid w:val="001E5140"/>
    <w:rsid w:val="001F0DF2"/>
    <w:rsid w:val="001F306D"/>
    <w:rsid w:val="00207701"/>
    <w:rsid w:val="00212ED1"/>
    <w:rsid w:val="0021510B"/>
    <w:rsid w:val="00224BF0"/>
    <w:rsid w:val="002257EC"/>
    <w:rsid w:val="002259B1"/>
    <w:rsid w:val="00236AB6"/>
    <w:rsid w:val="00240550"/>
    <w:rsid w:val="00253EF9"/>
    <w:rsid w:val="002546DA"/>
    <w:rsid w:val="00257ACE"/>
    <w:rsid w:val="00266A7A"/>
    <w:rsid w:val="00281A49"/>
    <w:rsid w:val="002C758B"/>
    <w:rsid w:val="002D2ADC"/>
    <w:rsid w:val="002D3550"/>
    <w:rsid w:val="002D4217"/>
    <w:rsid w:val="002D548E"/>
    <w:rsid w:val="002F1EE8"/>
    <w:rsid w:val="002F2387"/>
    <w:rsid w:val="002F6560"/>
    <w:rsid w:val="0030510F"/>
    <w:rsid w:val="003145A4"/>
    <w:rsid w:val="00314F4D"/>
    <w:rsid w:val="0031723B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342D"/>
    <w:rsid w:val="00377F58"/>
    <w:rsid w:val="00382D2F"/>
    <w:rsid w:val="00387C46"/>
    <w:rsid w:val="0039427B"/>
    <w:rsid w:val="003963D6"/>
    <w:rsid w:val="003B6760"/>
    <w:rsid w:val="003C0C72"/>
    <w:rsid w:val="003D6CE0"/>
    <w:rsid w:val="003F356B"/>
    <w:rsid w:val="003F7957"/>
    <w:rsid w:val="00403354"/>
    <w:rsid w:val="00411CC2"/>
    <w:rsid w:val="00411E40"/>
    <w:rsid w:val="0042299C"/>
    <w:rsid w:val="004318B9"/>
    <w:rsid w:val="00434C19"/>
    <w:rsid w:val="00442597"/>
    <w:rsid w:val="004675C0"/>
    <w:rsid w:val="00470FD1"/>
    <w:rsid w:val="00482847"/>
    <w:rsid w:val="004833A4"/>
    <w:rsid w:val="004908AE"/>
    <w:rsid w:val="0049244A"/>
    <w:rsid w:val="00495F8F"/>
    <w:rsid w:val="004A0FF1"/>
    <w:rsid w:val="004A3A67"/>
    <w:rsid w:val="004B0476"/>
    <w:rsid w:val="004B2E2D"/>
    <w:rsid w:val="004B5EE9"/>
    <w:rsid w:val="004C2ABF"/>
    <w:rsid w:val="004C3E87"/>
    <w:rsid w:val="004C5C42"/>
    <w:rsid w:val="004D3FC1"/>
    <w:rsid w:val="004D6069"/>
    <w:rsid w:val="004F4106"/>
    <w:rsid w:val="00504B8B"/>
    <w:rsid w:val="005253D4"/>
    <w:rsid w:val="005366A5"/>
    <w:rsid w:val="00540A59"/>
    <w:rsid w:val="00543D7F"/>
    <w:rsid w:val="00564288"/>
    <w:rsid w:val="00565A5C"/>
    <w:rsid w:val="005721DB"/>
    <w:rsid w:val="00572D1D"/>
    <w:rsid w:val="00572FF0"/>
    <w:rsid w:val="005826BB"/>
    <w:rsid w:val="0058319B"/>
    <w:rsid w:val="00591905"/>
    <w:rsid w:val="00591FE5"/>
    <w:rsid w:val="005973C9"/>
    <w:rsid w:val="005A1281"/>
    <w:rsid w:val="005B12D2"/>
    <w:rsid w:val="005B56CE"/>
    <w:rsid w:val="005B5D41"/>
    <w:rsid w:val="005C2A7D"/>
    <w:rsid w:val="005C64D8"/>
    <w:rsid w:val="005C6BC5"/>
    <w:rsid w:val="005D7B12"/>
    <w:rsid w:val="005E3FE1"/>
    <w:rsid w:val="005F0E77"/>
    <w:rsid w:val="005F4F6C"/>
    <w:rsid w:val="00600469"/>
    <w:rsid w:val="00601F46"/>
    <w:rsid w:val="0060217F"/>
    <w:rsid w:val="006077CF"/>
    <w:rsid w:val="00607AE9"/>
    <w:rsid w:val="006119DC"/>
    <w:rsid w:val="006171F2"/>
    <w:rsid w:val="00636530"/>
    <w:rsid w:val="00637013"/>
    <w:rsid w:val="006417C1"/>
    <w:rsid w:val="00652457"/>
    <w:rsid w:val="00665199"/>
    <w:rsid w:val="006748C0"/>
    <w:rsid w:val="006917A0"/>
    <w:rsid w:val="006A76B2"/>
    <w:rsid w:val="006B3E34"/>
    <w:rsid w:val="006D2D25"/>
    <w:rsid w:val="006F7548"/>
    <w:rsid w:val="0073365C"/>
    <w:rsid w:val="00742323"/>
    <w:rsid w:val="00747A1C"/>
    <w:rsid w:val="00754817"/>
    <w:rsid w:val="00756AB0"/>
    <w:rsid w:val="0076142A"/>
    <w:rsid w:val="00767E53"/>
    <w:rsid w:val="00776640"/>
    <w:rsid w:val="00777D1F"/>
    <w:rsid w:val="0078507E"/>
    <w:rsid w:val="00790BA7"/>
    <w:rsid w:val="0079270E"/>
    <w:rsid w:val="007A62C4"/>
    <w:rsid w:val="007B2CEF"/>
    <w:rsid w:val="007B3D34"/>
    <w:rsid w:val="007B6927"/>
    <w:rsid w:val="007B6A4C"/>
    <w:rsid w:val="007C0936"/>
    <w:rsid w:val="007C2BB0"/>
    <w:rsid w:val="007C50CE"/>
    <w:rsid w:val="007C5B60"/>
    <w:rsid w:val="007D554C"/>
    <w:rsid w:val="007D6B50"/>
    <w:rsid w:val="007E033D"/>
    <w:rsid w:val="007E3F74"/>
    <w:rsid w:val="007F0B01"/>
    <w:rsid w:val="007F2A74"/>
    <w:rsid w:val="008122A2"/>
    <w:rsid w:val="00820690"/>
    <w:rsid w:val="0083164F"/>
    <w:rsid w:val="00834E86"/>
    <w:rsid w:val="0084026F"/>
    <w:rsid w:val="00840E52"/>
    <w:rsid w:val="0084324F"/>
    <w:rsid w:val="0084792B"/>
    <w:rsid w:val="00852FE0"/>
    <w:rsid w:val="0086721F"/>
    <w:rsid w:val="00867FC6"/>
    <w:rsid w:val="00870CCA"/>
    <w:rsid w:val="008718FF"/>
    <w:rsid w:val="00871B7B"/>
    <w:rsid w:val="00873D23"/>
    <w:rsid w:val="00874305"/>
    <w:rsid w:val="00884258"/>
    <w:rsid w:val="00896C9B"/>
    <w:rsid w:val="008B732E"/>
    <w:rsid w:val="008C1740"/>
    <w:rsid w:val="008D140F"/>
    <w:rsid w:val="008D2CDC"/>
    <w:rsid w:val="008D3FA2"/>
    <w:rsid w:val="008D52D5"/>
    <w:rsid w:val="008D54EF"/>
    <w:rsid w:val="008D7EB2"/>
    <w:rsid w:val="008E131A"/>
    <w:rsid w:val="008E2D7B"/>
    <w:rsid w:val="009112B4"/>
    <w:rsid w:val="0091367F"/>
    <w:rsid w:val="0092128B"/>
    <w:rsid w:val="0093159E"/>
    <w:rsid w:val="009423A1"/>
    <w:rsid w:val="00962C82"/>
    <w:rsid w:val="0096651F"/>
    <w:rsid w:val="00974463"/>
    <w:rsid w:val="00980D3D"/>
    <w:rsid w:val="00990ECE"/>
    <w:rsid w:val="009B2A31"/>
    <w:rsid w:val="009B6909"/>
    <w:rsid w:val="009C74F2"/>
    <w:rsid w:val="009D0278"/>
    <w:rsid w:val="009D46D5"/>
    <w:rsid w:val="009F33A7"/>
    <w:rsid w:val="009F372B"/>
    <w:rsid w:val="00A111D5"/>
    <w:rsid w:val="00A12152"/>
    <w:rsid w:val="00A14E4E"/>
    <w:rsid w:val="00A22918"/>
    <w:rsid w:val="00A53FFB"/>
    <w:rsid w:val="00A57B04"/>
    <w:rsid w:val="00A61E4F"/>
    <w:rsid w:val="00A71ED6"/>
    <w:rsid w:val="00A8355B"/>
    <w:rsid w:val="00A91263"/>
    <w:rsid w:val="00AA3479"/>
    <w:rsid w:val="00AC0CA8"/>
    <w:rsid w:val="00AC2805"/>
    <w:rsid w:val="00AE59CE"/>
    <w:rsid w:val="00AE6937"/>
    <w:rsid w:val="00AE7828"/>
    <w:rsid w:val="00AF0CB7"/>
    <w:rsid w:val="00AF247D"/>
    <w:rsid w:val="00B067AE"/>
    <w:rsid w:val="00B36DE3"/>
    <w:rsid w:val="00B43DD4"/>
    <w:rsid w:val="00B76EC7"/>
    <w:rsid w:val="00B822A5"/>
    <w:rsid w:val="00B93D26"/>
    <w:rsid w:val="00BA22BE"/>
    <w:rsid w:val="00BB6A6E"/>
    <w:rsid w:val="00BC5A06"/>
    <w:rsid w:val="00BD3D69"/>
    <w:rsid w:val="00BD496A"/>
    <w:rsid w:val="00BD4ABD"/>
    <w:rsid w:val="00BD4F21"/>
    <w:rsid w:val="00BE289E"/>
    <w:rsid w:val="00BF292F"/>
    <w:rsid w:val="00BF7E0E"/>
    <w:rsid w:val="00C04B6A"/>
    <w:rsid w:val="00C12F4A"/>
    <w:rsid w:val="00C14D44"/>
    <w:rsid w:val="00C22F6F"/>
    <w:rsid w:val="00C41BC2"/>
    <w:rsid w:val="00C42A63"/>
    <w:rsid w:val="00C52737"/>
    <w:rsid w:val="00C614CA"/>
    <w:rsid w:val="00C64C54"/>
    <w:rsid w:val="00C66422"/>
    <w:rsid w:val="00C73E48"/>
    <w:rsid w:val="00C8092A"/>
    <w:rsid w:val="00C83BCD"/>
    <w:rsid w:val="00C852AE"/>
    <w:rsid w:val="00C95FEF"/>
    <w:rsid w:val="00CA2E16"/>
    <w:rsid w:val="00CA4EE3"/>
    <w:rsid w:val="00CD2486"/>
    <w:rsid w:val="00CD46AB"/>
    <w:rsid w:val="00CE3B72"/>
    <w:rsid w:val="00CF2F15"/>
    <w:rsid w:val="00CF60CD"/>
    <w:rsid w:val="00D167A2"/>
    <w:rsid w:val="00D16D3F"/>
    <w:rsid w:val="00D1726C"/>
    <w:rsid w:val="00D4578B"/>
    <w:rsid w:val="00D601D5"/>
    <w:rsid w:val="00D628E6"/>
    <w:rsid w:val="00D62B94"/>
    <w:rsid w:val="00D66293"/>
    <w:rsid w:val="00D745A1"/>
    <w:rsid w:val="00D808EB"/>
    <w:rsid w:val="00D9321A"/>
    <w:rsid w:val="00DA117A"/>
    <w:rsid w:val="00DD3617"/>
    <w:rsid w:val="00DD631A"/>
    <w:rsid w:val="00DE3D7D"/>
    <w:rsid w:val="00DF5789"/>
    <w:rsid w:val="00E05A6E"/>
    <w:rsid w:val="00E06C71"/>
    <w:rsid w:val="00E201E6"/>
    <w:rsid w:val="00E46A42"/>
    <w:rsid w:val="00E51A9B"/>
    <w:rsid w:val="00E62240"/>
    <w:rsid w:val="00E67BFC"/>
    <w:rsid w:val="00E93CFC"/>
    <w:rsid w:val="00EC30C9"/>
    <w:rsid w:val="00EC5B79"/>
    <w:rsid w:val="00ED0E7D"/>
    <w:rsid w:val="00ED37EE"/>
    <w:rsid w:val="00ED7138"/>
    <w:rsid w:val="00EE0DC0"/>
    <w:rsid w:val="00EE2686"/>
    <w:rsid w:val="00F061FF"/>
    <w:rsid w:val="00F21088"/>
    <w:rsid w:val="00F50FDA"/>
    <w:rsid w:val="00F60DFA"/>
    <w:rsid w:val="00F6273C"/>
    <w:rsid w:val="00F65503"/>
    <w:rsid w:val="00F73BE8"/>
    <w:rsid w:val="00F77150"/>
    <w:rsid w:val="00F807A9"/>
    <w:rsid w:val="00F94315"/>
    <w:rsid w:val="00F9542A"/>
    <w:rsid w:val="00FA18BB"/>
    <w:rsid w:val="00FB260D"/>
    <w:rsid w:val="00FC54CE"/>
    <w:rsid w:val="00FD0517"/>
    <w:rsid w:val="00FD6A43"/>
    <w:rsid w:val="00FD6EE7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0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8D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0FF1"/>
    <w:rPr>
      <w:rFonts w:asciiTheme="majorHAnsi" w:eastAsiaTheme="majorEastAsia" w:hAnsiTheme="majorHAnsi" w:cstheme="majorBidi"/>
      <w:color w:val="0292DF" w:themeColor="accent1" w:themeShade="BF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hysique-chimie-college.fr/cours-de-college-niveau-4eme-chimie/les-molecul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hysique-chimie-college.fr/cours-de-college-niveau-4eme-chimie/les-molecul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ysique-chimie-college.fr/definitions-fiches-science/etat-solid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AA04-5784-4BF4-8ECB-75D0130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dell</cp:lastModifiedBy>
  <cp:revision>189</cp:revision>
  <cp:lastPrinted>2018-09-12T21:57:00Z</cp:lastPrinted>
  <dcterms:created xsi:type="dcterms:W3CDTF">2015-07-01T17:27:00Z</dcterms:created>
  <dcterms:modified xsi:type="dcterms:W3CDTF">2022-06-07T17:02:00Z</dcterms:modified>
</cp:coreProperties>
</file>