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Pr="003F57D8" w:rsidRDefault="00AF0F48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B01E04" w:rsidRDefault="006642E8" w:rsidP="00E632E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T.C.sc.f</w:t>
                    </w:r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B01E04" w:rsidRDefault="006642E8" w:rsidP="006642E8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Ecologie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Style w:val="lev"/>
                      </w:rPr>
                    </w:pPr>
                    <w:r>
                      <w:rPr>
                        <w:rStyle w:val="lev"/>
                      </w:rPr>
                      <w:t>Quelques techniques d’étude des milieux naturels.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632ED" w:rsidRPr="00E632ED" w:rsidRDefault="00E632ED" w:rsidP="00E632ED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32"/>
                        <w:lang w:val="es-ES"/>
                      </w:rPr>
                    </w:pPr>
                  </w:p>
                  <w:p w:rsidR="006642E8" w:rsidRDefault="006642E8" w:rsidP="005909B1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 xml:space="preserve">PLANCHE: </w:t>
                    </w:r>
                    <w:r w:rsidR="005909B1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>9</w:t>
                    </w:r>
                  </w:p>
                </w:txbxContent>
              </v:textbox>
            </v:shape>
          </v:group>
        </w:pict>
      </w: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5909B1" w:rsidRDefault="005909B1" w:rsidP="00E862A5">
      <w:pPr>
        <w:spacing w:after="0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214E69" w:rsidRDefault="005827DF" w:rsidP="00DE0620">
      <w:pPr>
        <w:spacing w:after="0"/>
      </w:pPr>
      <w:r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</w:t>
      </w:r>
      <w:r w:rsidR="00DE0620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>1</w:t>
      </w:r>
      <w:r w:rsidR="00F0476C" w:rsidRPr="00214E69">
        <w:rPr>
          <w:b/>
          <w:bCs/>
          <w:sz w:val="24"/>
          <w:szCs w:val="24"/>
        </w:rPr>
        <w:t>:</w:t>
      </w:r>
      <w:r w:rsidR="00F0476C">
        <w:rPr>
          <w:b/>
          <w:bCs/>
          <w:sz w:val="24"/>
          <w:szCs w:val="24"/>
        </w:rPr>
        <w:t xml:space="preserve"> </w:t>
      </w:r>
      <w:r w:rsidR="00F0476C" w:rsidRPr="00214E69">
        <w:t>Etude</w:t>
      </w:r>
      <w:r w:rsidR="00214E69" w:rsidRPr="00214E69">
        <w:t xml:space="preserve"> statistique d’un milieu </w:t>
      </w:r>
      <w:r w:rsidR="00E862A5">
        <w:t>aquatique</w:t>
      </w:r>
      <w:r w:rsidR="00835819">
        <w:t xml:space="preserve">. </w:t>
      </w:r>
    </w:p>
    <w:p w:rsidR="006B36EA" w:rsidRPr="00D6709B" w:rsidRDefault="006B36EA" w:rsidP="00DE0620">
      <w:pPr>
        <w:spacing w:after="0"/>
        <w:rPr>
          <w:rFonts w:ascii="Tahoma" w:hAnsi="Tahoma" w:cs="Tahoma"/>
          <w:b/>
          <w:bCs/>
          <w:sz w:val="10"/>
          <w:szCs w:val="10"/>
          <w:lang w:val="fr-MA"/>
        </w:rPr>
      </w:pPr>
    </w:p>
    <w:p w:rsidR="00214E69" w:rsidRDefault="00835819" w:rsidP="0083581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 w:rsidRPr="00835819">
        <w:rPr>
          <w:rFonts w:ascii="Tahoma" w:eastAsia="Times New Roman" w:hAnsi="Tahoma" w:cs="Tahoma"/>
          <w:sz w:val="20"/>
          <w:szCs w:val="20"/>
          <w:lang w:val="fr-MA"/>
        </w:rPr>
        <w:t>Tableau représentant les résultats des relevés faunistique réalisés dans la station de L’</w:t>
      </w:r>
      <w:proofErr w:type="spellStart"/>
      <w:r w:rsidRPr="00835819">
        <w:rPr>
          <w:rFonts w:ascii="Tahoma" w:eastAsia="Times New Roman" w:hAnsi="Tahoma" w:cs="Tahoma"/>
          <w:sz w:val="20"/>
          <w:szCs w:val="20"/>
          <w:lang w:val="fr-MA"/>
        </w:rPr>
        <w:t>Oudaya</w:t>
      </w:r>
      <w:proofErr w:type="spellEnd"/>
      <w:r w:rsidRPr="00835819">
        <w:rPr>
          <w:rFonts w:ascii="Tahoma" w:eastAsia="Times New Roman" w:hAnsi="Tahoma" w:cs="Tahoma"/>
          <w:sz w:val="20"/>
          <w:szCs w:val="20"/>
          <w:lang w:val="fr-MA"/>
        </w:rPr>
        <w:t xml:space="preserve"> à l’embouchure de l’oued </w:t>
      </w:r>
      <w:proofErr w:type="spellStart"/>
      <w:r w:rsidRPr="00835819">
        <w:rPr>
          <w:rFonts w:ascii="Tahoma" w:eastAsia="Times New Roman" w:hAnsi="Tahoma" w:cs="Tahoma"/>
          <w:sz w:val="20"/>
          <w:szCs w:val="20"/>
          <w:lang w:val="fr-MA"/>
        </w:rPr>
        <w:t>Bouragreg</w:t>
      </w:r>
      <w:proofErr w:type="spellEnd"/>
      <w:r>
        <w:rPr>
          <w:rFonts w:ascii="Tahoma" w:eastAsia="Times New Roman" w:hAnsi="Tahoma" w:cs="Tahoma"/>
          <w:sz w:val="20"/>
          <w:szCs w:val="20"/>
          <w:lang w:val="fr-MA"/>
        </w:rPr>
        <w:t>.</w:t>
      </w:r>
    </w:p>
    <w:p w:rsidR="00F12334" w:rsidRDefault="00F12334" w:rsidP="0083581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693425" w:rsidRDefault="00F12334" w:rsidP="0083581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  <w:r>
        <w:rPr>
          <w:rFonts w:ascii="Tahoma" w:eastAsia="Times New Roman" w:hAnsi="Tahoma" w:cs="Tahoma"/>
          <w:noProof/>
          <w:sz w:val="20"/>
          <w:szCs w:val="20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34815</wp:posOffset>
            </wp:positionH>
            <wp:positionV relativeFrom="paragraph">
              <wp:posOffset>38319</wp:posOffset>
            </wp:positionV>
            <wp:extent cx="6633999" cy="3741683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999" cy="374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425" w:rsidRPr="00835819" w:rsidRDefault="00693425" w:rsidP="00835819">
      <w:pPr>
        <w:spacing w:after="0"/>
        <w:rPr>
          <w:rFonts w:ascii="Tahoma" w:eastAsia="Times New Roman" w:hAnsi="Tahoma" w:cs="Tahoma"/>
          <w:sz w:val="20"/>
          <w:szCs w:val="20"/>
          <w:lang w:val="fr-MA"/>
        </w:rPr>
      </w:pPr>
    </w:p>
    <w:p w:rsidR="00214E69" w:rsidRPr="00835819" w:rsidRDefault="00214E69" w:rsidP="00214E69">
      <w:pPr>
        <w:rPr>
          <w:rFonts w:ascii="Tahoma" w:eastAsia="Times New Roman" w:hAnsi="Tahoma" w:cs="Tahoma"/>
          <w:sz w:val="20"/>
          <w:szCs w:val="20"/>
          <w:lang w:val="fr-MA"/>
        </w:rPr>
      </w:pPr>
    </w:p>
    <w:p w:rsidR="005909B1" w:rsidRDefault="005909B1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Pr="005909B1" w:rsidRDefault="00F12334" w:rsidP="005909B1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-38757</wp:posOffset>
            </wp:positionH>
            <wp:positionV relativeFrom="paragraph">
              <wp:posOffset>108278</wp:posOffset>
            </wp:positionV>
            <wp:extent cx="6166463" cy="683173"/>
            <wp:effectExtent l="19050" t="0" r="5737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63" cy="68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9B1" w:rsidRPr="005909B1" w:rsidRDefault="005909B1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5909B1" w:rsidRDefault="00F12334" w:rsidP="005909B1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-38757</wp:posOffset>
            </wp:positionH>
            <wp:positionV relativeFrom="paragraph">
              <wp:posOffset>120606</wp:posOffset>
            </wp:positionV>
            <wp:extent cx="4342108" cy="231227"/>
            <wp:effectExtent l="19050" t="0" r="1292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08" cy="23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34" w:rsidRPr="00F12334" w:rsidRDefault="00F12334" w:rsidP="005909B1">
      <w:pPr>
        <w:rPr>
          <w:rFonts w:ascii="Calibri" w:hAnsi="Calibri" w:cs="Tahoma"/>
          <w:sz w:val="24"/>
          <w:szCs w:val="24"/>
          <w:lang w:val="fr-MA"/>
        </w:rPr>
      </w:pPr>
    </w:p>
    <w:p w:rsidR="00E815E7" w:rsidRPr="00DE0620" w:rsidRDefault="00DE0620" w:rsidP="006B36EA">
      <w:pPr>
        <w:spacing w:after="120"/>
        <w:rPr>
          <w:rFonts w:ascii="Calibri" w:hAnsi="Calibri" w:cs="Tahoma"/>
          <w:b/>
          <w:bCs/>
          <w:sz w:val="24"/>
          <w:szCs w:val="24"/>
          <w:u w:val="single"/>
          <w:lang w:val="fr-MA"/>
        </w:rPr>
      </w:pPr>
      <w:proofErr w:type="gramStart"/>
      <w:r w:rsidRPr="00DE0620">
        <w:rPr>
          <w:rFonts w:ascii="Calibri" w:hAnsi="Calibri" w:cs="Tahoma"/>
          <w:b/>
          <w:bCs/>
          <w:sz w:val="24"/>
          <w:szCs w:val="24"/>
          <w:u w:val="single"/>
          <w:lang w:val="fr-MA"/>
        </w:rPr>
        <w:t>Remarque</w:t>
      </w:r>
      <w:r w:rsidR="006B36EA">
        <w:rPr>
          <w:rFonts w:ascii="Calibri" w:hAnsi="Calibri" w:cs="Tahoma"/>
          <w:b/>
          <w:bCs/>
          <w:sz w:val="24"/>
          <w:szCs w:val="24"/>
          <w:u w:val="single"/>
          <w:lang w:val="fr-MA"/>
        </w:rPr>
        <w:t>s</w:t>
      </w:r>
      <w:proofErr w:type="gramEnd"/>
      <w:r w:rsidRPr="00DE0620">
        <w:rPr>
          <w:rFonts w:ascii="Calibri" w:hAnsi="Calibri" w:cs="Tahoma"/>
          <w:b/>
          <w:bCs/>
          <w:sz w:val="24"/>
          <w:szCs w:val="24"/>
          <w:u w:val="single"/>
          <w:lang w:val="fr-MA"/>
        </w:rPr>
        <w:t> :</w:t>
      </w:r>
    </w:p>
    <w:p w:rsidR="00DE0620" w:rsidRPr="006B36EA" w:rsidRDefault="00DE0620" w:rsidP="006B36EA">
      <w:pPr>
        <w:pStyle w:val="Paragraphedeliste"/>
        <w:numPr>
          <w:ilvl w:val="0"/>
          <w:numId w:val="6"/>
        </w:numPr>
        <w:spacing w:after="120"/>
        <w:ind w:left="567" w:hanging="425"/>
        <w:rPr>
          <w:rFonts w:ascii="Calibri" w:hAnsi="Calibri" w:cs="Tahoma"/>
          <w:sz w:val="24"/>
          <w:szCs w:val="24"/>
          <w:lang w:val="fr-MA"/>
        </w:rPr>
      </w:pPr>
      <w:r w:rsidRPr="006B36EA">
        <w:rPr>
          <w:rFonts w:ascii="Calibri" w:hAnsi="Calibri" w:cs="Tahoma"/>
          <w:sz w:val="24"/>
          <w:szCs w:val="24"/>
          <w:lang w:val="fr-MA"/>
        </w:rPr>
        <w:t>Selon la valeur de leurs dominances relatives  les  espèces animales  seront classées de l</w:t>
      </w:r>
      <w:r w:rsidR="00693425" w:rsidRPr="006B36EA">
        <w:rPr>
          <w:rFonts w:ascii="Calibri" w:hAnsi="Calibri" w:cs="Tahoma"/>
          <w:sz w:val="24"/>
          <w:szCs w:val="24"/>
          <w:lang w:val="fr-MA"/>
        </w:rPr>
        <w:t>a</w:t>
      </w:r>
      <w:r w:rsidRPr="006B36EA">
        <w:rPr>
          <w:rFonts w:ascii="Calibri" w:hAnsi="Calibri" w:cs="Tahoma"/>
          <w:sz w:val="24"/>
          <w:szCs w:val="24"/>
          <w:lang w:val="fr-MA"/>
        </w:rPr>
        <w:t xml:space="preserve"> façon suivante :</w:t>
      </w:r>
    </w:p>
    <w:tbl>
      <w:tblPr>
        <w:tblStyle w:val="Grilledutableau"/>
        <w:tblW w:w="0" w:type="auto"/>
        <w:tblInd w:w="979" w:type="dxa"/>
        <w:tblLook w:val="04A0"/>
      </w:tblPr>
      <w:tblGrid>
        <w:gridCol w:w="4344"/>
        <w:gridCol w:w="4161"/>
      </w:tblGrid>
      <w:tr w:rsidR="00DE0620" w:rsidTr="006B36EA">
        <w:tc>
          <w:tcPr>
            <w:tcW w:w="4344" w:type="dxa"/>
            <w:shd w:val="clear" w:color="auto" w:fill="A6A6A6" w:themeFill="background1" w:themeFillShade="A6"/>
          </w:tcPr>
          <w:p w:rsidR="00DE0620" w:rsidRPr="00DE0620" w:rsidRDefault="00DE0620" w:rsidP="00DE0620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  <w:lang w:val="fr-MA"/>
              </w:rPr>
            </w:pPr>
            <w:r w:rsidRPr="00DE0620">
              <w:rPr>
                <w:rFonts w:ascii="Calibri" w:hAnsi="Calibri" w:cs="Tahoma"/>
                <w:b/>
                <w:bCs/>
                <w:sz w:val="28"/>
                <w:szCs w:val="28"/>
                <w:lang w:val="fr-MA"/>
              </w:rPr>
              <w:t>Valeur de</w:t>
            </w:r>
            <w:r w:rsidR="00C0368B">
              <w:rPr>
                <w:rFonts w:ascii="Calibri" w:hAnsi="Calibri" w:cs="Tahoma"/>
                <w:b/>
                <w:bCs/>
                <w:sz w:val="28"/>
                <w:szCs w:val="28"/>
                <w:lang w:val="fr-MA"/>
              </w:rPr>
              <w:t xml:space="preserve"> la</w:t>
            </w:r>
            <w:r w:rsidRPr="00DE0620">
              <w:rPr>
                <w:rFonts w:ascii="Calibri" w:hAnsi="Calibri" w:cs="Tahoma"/>
                <w:b/>
                <w:bCs/>
                <w:sz w:val="28"/>
                <w:szCs w:val="28"/>
                <w:lang w:val="fr-MA"/>
              </w:rPr>
              <w:t xml:space="preserve"> dominance relative  d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:rsidR="00DE0620" w:rsidRPr="00DE0620" w:rsidRDefault="00DE0620" w:rsidP="00DE0620">
            <w:pPr>
              <w:jc w:val="center"/>
              <w:rPr>
                <w:rFonts w:ascii="Calibri" w:hAnsi="Calibri" w:cs="Tahoma"/>
                <w:b/>
                <w:bCs/>
                <w:sz w:val="28"/>
                <w:szCs w:val="28"/>
                <w:lang w:val="fr-MA"/>
              </w:rPr>
            </w:pPr>
            <w:r w:rsidRPr="00DE0620">
              <w:rPr>
                <w:rFonts w:ascii="Calibri" w:hAnsi="Calibri" w:cs="Tahoma"/>
                <w:b/>
                <w:bCs/>
                <w:sz w:val="28"/>
                <w:szCs w:val="28"/>
                <w:lang w:val="fr-MA"/>
              </w:rPr>
              <w:t>Espèce animale</w:t>
            </w:r>
          </w:p>
        </w:tc>
      </w:tr>
      <w:tr w:rsidR="00DE0620" w:rsidTr="006B36EA">
        <w:tc>
          <w:tcPr>
            <w:tcW w:w="4344" w:type="dxa"/>
          </w:tcPr>
          <w:p w:rsidR="00DE0620" w:rsidRPr="00DE0620" w:rsidRDefault="00DE0620" w:rsidP="00DE0620">
            <w:pPr>
              <w:jc w:val="center"/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</w:pPr>
            <w:r w:rsidRPr="00DE0620"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  <w:t>d ≥ 75%</w:t>
            </w:r>
          </w:p>
        </w:tc>
        <w:tc>
          <w:tcPr>
            <w:tcW w:w="4161" w:type="dxa"/>
          </w:tcPr>
          <w:p w:rsidR="00DE0620" w:rsidRDefault="00DE0620" w:rsidP="00DE0620">
            <w:pPr>
              <w:jc w:val="center"/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Très abondante</w:t>
            </w:r>
          </w:p>
        </w:tc>
      </w:tr>
      <w:tr w:rsidR="00DE0620" w:rsidTr="006B36EA">
        <w:tc>
          <w:tcPr>
            <w:tcW w:w="4344" w:type="dxa"/>
          </w:tcPr>
          <w:p w:rsidR="00DE0620" w:rsidRPr="00DE0620" w:rsidRDefault="00DE0620" w:rsidP="00DE0620">
            <w:pPr>
              <w:jc w:val="center"/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</w:pPr>
            <w:r w:rsidRPr="00DE0620"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  <w:t>50% ≤d &lt; 75%</w:t>
            </w:r>
          </w:p>
        </w:tc>
        <w:tc>
          <w:tcPr>
            <w:tcW w:w="4161" w:type="dxa"/>
          </w:tcPr>
          <w:p w:rsidR="00DE0620" w:rsidRDefault="00DE0620" w:rsidP="00DE0620">
            <w:pPr>
              <w:jc w:val="center"/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Abondante</w:t>
            </w:r>
          </w:p>
        </w:tc>
      </w:tr>
      <w:tr w:rsidR="00DE0620" w:rsidTr="006B36EA">
        <w:tc>
          <w:tcPr>
            <w:tcW w:w="4344" w:type="dxa"/>
          </w:tcPr>
          <w:p w:rsidR="00DE0620" w:rsidRPr="00DE0620" w:rsidRDefault="00DE0620" w:rsidP="00DE0620">
            <w:pPr>
              <w:jc w:val="center"/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</w:pPr>
            <w:r w:rsidRPr="00DE0620"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  <w:t>25% ≤ d &lt; 50%</w:t>
            </w:r>
          </w:p>
        </w:tc>
        <w:tc>
          <w:tcPr>
            <w:tcW w:w="4161" w:type="dxa"/>
          </w:tcPr>
          <w:p w:rsidR="00DE0620" w:rsidRDefault="00DE0620" w:rsidP="00DE0620">
            <w:pPr>
              <w:jc w:val="center"/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Commune</w:t>
            </w:r>
          </w:p>
        </w:tc>
      </w:tr>
      <w:tr w:rsidR="00DE0620" w:rsidTr="006B36EA">
        <w:tc>
          <w:tcPr>
            <w:tcW w:w="4344" w:type="dxa"/>
          </w:tcPr>
          <w:p w:rsidR="00DE0620" w:rsidRPr="00DE0620" w:rsidRDefault="00DE0620" w:rsidP="00DE0620">
            <w:pPr>
              <w:jc w:val="center"/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</w:pPr>
            <w:r w:rsidRPr="00DE0620"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  <w:t>5%   ≤ d &lt; 25%</w:t>
            </w:r>
          </w:p>
        </w:tc>
        <w:tc>
          <w:tcPr>
            <w:tcW w:w="4161" w:type="dxa"/>
          </w:tcPr>
          <w:p w:rsidR="00DE0620" w:rsidRDefault="00DE0620" w:rsidP="00DE0620">
            <w:pPr>
              <w:jc w:val="center"/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Rare</w:t>
            </w:r>
          </w:p>
        </w:tc>
      </w:tr>
      <w:tr w:rsidR="00DE0620" w:rsidTr="006B36EA">
        <w:tc>
          <w:tcPr>
            <w:tcW w:w="4344" w:type="dxa"/>
          </w:tcPr>
          <w:p w:rsidR="00DE0620" w:rsidRPr="00DE0620" w:rsidRDefault="00DE0620" w:rsidP="00DE0620">
            <w:pPr>
              <w:jc w:val="center"/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</w:pPr>
            <w:r w:rsidRPr="00DE0620">
              <w:rPr>
                <w:rFonts w:ascii="Calibri" w:hAnsi="Calibri" w:cs="Tahoma"/>
                <w:i/>
                <w:iCs/>
                <w:sz w:val="24"/>
                <w:szCs w:val="24"/>
                <w:lang w:val="fr-MA"/>
              </w:rPr>
              <w:t>d &lt; 5%</w:t>
            </w:r>
          </w:p>
        </w:tc>
        <w:tc>
          <w:tcPr>
            <w:tcW w:w="4161" w:type="dxa"/>
          </w:tcPr>
          <w:p w:rsidR="00DE0620" w:rsidRDefault="00DE0620" w:rsidP="00DE0620">
            <w:pPr>
              <w:jc w:val="center"/>
              <w:rPr>
                <w:rFonts w:ascii="Calibri" w:hAnsi="Calibri" w:cs="Tahoma"/>
                <w:sz w:val="24"/>
                <w:szCs w:val="24"/>
                <w:lang w:val="fr-MA"/>
              </w:rPr>
            </w:pPr>
            <w:r>
              <w:rPr>
                <w:rFonts w:ascii="Calibri" w:hAnsi="Calibri" w:cs="Tahoma"/>
                <w:sz w:val="24"/>
                <w:szCs w:val="24"/>
                <w:lang w:val="fr-MA"/>
              </w:rPr>
              <w:t>Très rare</w:t>
            </w:r>
          </w:p>
        </w:tc>
      </w:tr>
    </w:tbl>
    <w:p w:rsidR="00DE0620" w:rsidRDefault="00DE0620" w:rsidP="006B36EA">
      <w:pPr>
        <w:rPr>
          <w:rFonts w:ascii="Calibri" w:hAnsi="Calibri" w:cs="Tahoma"/>
          <w:sz w:val="24"/>
          <w:szCs w:val="24"/>
          <w:lang w:val="fr-MA"/>
        </w:rPr>
      </w:pPr>
    </w:p>
    <w:p w:rsidR="006B36EA" w:rsidRPr="006B36EA" w:rsidRDefault="006B36EA" w:rsidP="006B36EA">
      <w:pPr>
        <w:pStyle w:val="Paragraphedeliste"/>
        <w:numPr>
          <w:ilvl w:val="0"/>
          <w:numId w:val="6"/>
        </w:numPr>
        <w:ind w:hanging="578"/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sz w:val="24"/>
          <w:szCs w:val="24"/>
          <w:lang w:val="fr-MA"/>
        </w:rPr>
        <w:t>Des données supplémentaire</w:t>
      </w:r>
      <w:r w:rsidR="00D6709B">
        <w:rPr>
          <w:rFonts w:ascii="Calibri" w:hAnsi="Calibri" w:cs="Tahoma"/>
          <w:sz w:val="24"/>
          <w:szCs w:val="24"/>
          <w:lang w:val="fr-MA"/>
        </w:rPr>
        <w:t xml:space="preserve">s </w:t>
      </w:r>
      <w:r>
        <w:rPr>
          <w:rFonts w:ascii="Calibri" w:hAnsi="Calibri" w:cs="Tahoma"/>
          <w:sz w:val="24"/>
          <w:szCs w:val="24"/>
          <w:lang w:val="fr-MA"/>
        </w:rPr>
        <w:t xml:space="preserve"> sur le milieu étudié peuvent être indiquées dans le tableau des </w:t>
      </w:r>
      <w:r w:rsidR="00F12334">
        <w:rPr>
          <w:rFonts w:ascii="Calibri" w:hAnsi="Calibri" w:cs="Tahoma"/>
          <w:sz w:val="24"/>
          <w:szCs w:val="24"/>
          <w:lang w:val="fr-MA"/>
        </w:rPr>
        <w:t>relevés, telle</w:t>
      </w:r>
      <w:r>
        <w:rPr>
          <w:rFonts w:ascii="Calibri" w:hAnsi="Calibri" w:cs="Tahoma"/>
          <w:sz w:val="24"/>
          <w:szCs w:val="24"/>
          <w:lang w:val="fr-MA"/>
        </w:rPr>
        <w:t xml:space="preserve"> que la </w:t>
      </w:r>
      <w:r w:rsidR="00F12334">
        <w:rPr>
          <w:rFonts w:ascii="Calibri" w:hAnsi="Calibri" w:cs="Tahoma"/>
          <w:sz w:val="24"/>
          <w:szCs w:val="24"/>
          <w:lang w:val="fr-MA"/>
        </w:rPr>
        <w:t>température, la</w:t>
      </w:r>
      <w:r>
        <w:rPr>
          <w:rFonts w:ascii="Calibri" w:hAnsi="Calibri" w:cs="Tahoma"/>
          <w:sz w:val="24"/>
          <w:szCs w:val="24"/>
          <w:lang w:val="fr-MA"/>
        </w:rPr>
        <w:t xml:space="preserve"> profondeur, la vitesse de l’eau ou du </w:t>
      </w:r>
      <w:r w:rsidR="00F12334">
        <w:rPr>
          <w:rFonts w:ascii="Calibri" w:hAnsi="Calibri" w:cs="Tahoma"/>
          <w:sz w:val="24"/>
          <w:szCs w:val="24"/>
          <w:lang w:val="fr-MA"/>
        </w:rPr>
        <w:t>vent, le</w:t>
      </w:r>
      <w:r>
        <w:rPr>
          <w:rFonts w:ascii="Calibri" w:hAnsi="Calibri" w:cs="Tahoma"/>
          <w:sz w:val="24"/>
          <w:szCs w:val="24"/>
          <w:lang w:val="fr-MA"/>
        </w:rPr>
        <w:t xml:space="preserve"> pH de l’eau ou du sol…</w:t>
      </w:r>
      <w:r w:rsidR="00D6709B">
        <w:rPr>
          <w:rFonts w:ascii="Calibri" w:hAnsi="Calibri" w:cs="Tahoma"/>
          <w:sz w:val="24"/>
          <w:szCs w:val="24"/>
          <w:lang w:val="fr-MA"/>
        </w:rPr>
        <w:t>ces donnés aident à mieux comprendre la répartition des espèces d’êtres vivants dans le milieu.</w:t>
      </w:r>
      <w:r>
        <w:rPr>
          <w:rFonts w:ascii="Calibri" w:hAnsi="Calibri" w:cs="Tahoma"/>
          <w:sz w:val="24"/>
          <w:szCs w:val="24"/>
          <w:lang w:val="fr-MA"/>
        </w:rPr>
        <w:t xml:space="preserve"> </w:t>
      </w:r>
    </w:p>
    <w:sectPr w:rsidR="006B36EA" w:rsidRPr="006B36EA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72330"/>
    <w:multiLevelType w:val="hybridMultilevel"/>
    <w:tmpl w:val="B51EB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D73"/>
    <w:rsid w:val="00004C0C"/>
    <w:rsid w:val="000511A0"/>
    <w:rsid w:val="000806EC"/>
    <w:rsid w:val="00095550"/>
    <w:rsid w:val="00095ADC"/>
    <w:rsid w:val="000D4777"/>
    <w:rsid w:val="000D4AF8"/>
    <w:rsid w:val="000D60D7"/>
    <w:rsid w:val="000F3C71"/>
    <w:rsid w:val="00121F5F"/>
    <w:rsid w:val="001331A9"/>
    <w:rsid w:val="0015459E"/>
    <w:rsid w:val="0017647D"/>
    <w:rsid w:val="001C3D64"/>
    <w:rsid w:val="001D1C23"/>
    <w:rsid w:val="00205314"/>
    <w:rsid w:val="00214E69"/>
    <w:rsid w:val="002807EB"/>
    <w:rsid w:val="00296B05"/>
    <w:rsid w:val="002E1A47"/>
    <w:rsid w:val="002F1AE7"/>
    <w:rsid w:val="003265B9"/>
    <w:rsid w:val="00330A20"/>
    <w:rsid w:val="00333233"/>
    <w:rsid w:val="003B1B02"/>
    <w:rsid w:val="003C55D0"/>
    <w:rsid w:val="003D3A04"/>
    <w:rsid w:val="003D7153"/>
    <w:rsid w:val="003F57D8"/>
    <w:rsid w:val="003F6D4A"/>
    <w:rsid w:val="003F760C"/>
    <w:rsid w:val="004149F6"/>
    <w:rsid w:val="00425459"/>
    <w:rsid w:val="0044550E"/>
    <w:rsid w:val="00453DAA"/>
    <w:rsid w:val="0046263A"/>
    <w:rsid w:val="004725E2"/>
    <w:rsid w:val="004C39AC"/>
    <w:rsid w:val="004F2DD9"/>
    <w:rsid w:val="00523D39"/>
    <w:rsid w:val="00531422"/>
    <w:rsid w:val="00564E8D"/>
    <w:rsid w:val="005827DF"/>
    <w:rsid w:val="005907B8"/>
    <w:rsid w:val="005909B1"/>
    <w:rsid w:val="005A39ED"/>
    <w:rsid w:val="005C5AE9"/>
    <w:rsid w:val="005F2D72"/>
    <w:rsid w:val="0061761C"/>
    <w:rsid w:val="00637DFD"/>
    <w:rsid w:val="00641927"/>
    <w:rsid w:val="00644DBB"/>
    <w:rsid w:val="00645186"/>
    <w:rsid w:val="00645C56"/>
    <w:rsid w:val="006642E8"/>
    <w:rsid w:val="00693425"/>
    <w:rsid w:val="006A74FB"/>
    <w:rsid w:val="006B36EA"/>
    <w:rsid w:val="00746CF8"/>
    <w:rsid w:val="007E09B3"/>
    <w:rsid w:val="007E2F39"/>
    <w:rsid w:val="007E4129"/>
    <w:rsid w:val="00820F39"/>
    <w:rsid w:val="00835819"/>
    <w:rsid w:val="0085168B"/>
    <w:rsid w:val="008700CD"/>
    <w:rsid w:val="00870A0A"/>
    <w:rsid w:val="008A020F"/>
    <w:rsid w:val="008C0C75"/>
    <w:rsid w:val="008C0E69"/>
    <w:rsid w:val="008C522D"/>
    <w:rsid w:val="008F666D"/>
    <w:rsid w:val="00937583"/>
    <w:rsid w:val="009513D4"/>
    <w:rsid w:val="00960890"/>
    <w:rsid w:val="00965A3E"/>
    <w:rsid w:val="00994716"/>
    <w:rsid w:val="009A6FBB"/>
    <w:rsid w:val="009D1BDB"/>
    <w:rsid w:val="009D5296"/>
    <w:rsid w:val="00A338CD"/>
    <w:rsid w:val="00A33CA2"/>
    <w:rsid w:val="00A341F1"/>
    <w:rsid w:val="00A36F75"/>
    <w:rsid w:val="00A409E7"/>
    <w:rsid w:val="00A4363A"/>
    <w:rsid w:val="00A51F21"/>
    <w:rsid w:val="00A66993"/>
    <w:rsid w:val="00A66C9D"/>
    <w:rsid w:val="00A70E57"/>
    <w:rsid w:val="00A7389F"/>
    <w:rsid w:val="00A754DB"/>
    <w:rsid w:val="00A97C9F"/>
    <w:rsid w:val="00AB3095"/>
    <w:rsid w:val="00AC375B"/>
    <w:rsid w:val="00AF0F48"/>
    <w:rsid w:val="00AF2450"/>
    <w:rsid w:val="00AF787D"/>
    <w:rsid w:val="00B61261"/>
    <w:rsid w:val="00B77CDF"/>
    <w:rsid w:val="00B804A1"/>
    <w:rsid w:val="00B85FAB"/>
    <w:rsid w:val="00C004C5"/>
    <w:rsid w:val="00C0368B"/>
    <w:rsid w:val="00C114A2"/>
    <w:rsid w:val="00C5474F"/>
    <w:rsid w:val="00C55DB2"/>
    <w:rsid w:val="00C63DFE"/>
    <w:rsid w:val="00C751DE"/>
    <w:rsid w:val="00C75D9C"/>
    <w:rsid w:val="00CA28A9"/>
    <w:rsid w:val="00CC31BE"/>
    <w:rsid w:val="00CC542D"/>
    <w:rsid w:val="00CF1DE6"/>
    <w:rsid w:val="00D029D6"/>
    <w:rsid w:val="00D50182"/>
    <w:rsid w:val="00D5154E"/>
    <w:rsid w:val="00D6709B"/>
    <w:rsid w:val="00D845F6"/>
    <w:rsid w:val="00D84D4F"/>
    <w:rsid w:val="00D9542D"/>
    <w:rsid w:val="00DA1912"/>
    <w:rsid w:val="00DC6D73"/>
    <w:rsid w:val="00DE0620"/>
    <w:rsid w:val="00DF6595"/>
    <w:rsid w:val="00E04FA7"/>
    <w:rsid w:val="00E35FCA"/>
    <w:rsid w:val="00E37EF8"/>
    <w:rsid w:val="00E627A5"/>
    <w:rsid w:val="00E632ED"/>
    <w:rsid w:val="00E65CE4"/>
    <w:rsid w:val="00E815E7"/>
    <w:rsid w:val="00E862A5"/>
    <w:rsid w:val="00E87212"/>
    <w:rsid w:val="00EC3B77"/>
    <w:rsid w:val="00F04501"/>
    <w:rsid w:val="00F0476C"/>
    <w:rsid w:val="00F12334"/>
    <w:rsid w:val="00F4139A"/>
    <w:rsid w:val="00F60B48"/>
    <w:rsid w:val="00FC38F0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66</cp:revision>
  <cp:lastPrinted>2015-11-05T14:27:00Z</cp:lastPrinted>
  <dcterms:created xsi:type="dcterms:W3CDTF">2015-10-07T19:30:00Z</dcterms:created>
  <dcterms:modified xsi:type="dcterms:W3CDTF">2016-11-01T22:42:00Z</dcterms:modified>
</cp:coreProperties>
</file>