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horzAnchor="margin" w:tblpXSpec="center" w:tblpY="-1215"/>
        <w:tblW w:w="11307" w:type="dxa"/>
        <w:tblLook w:val="04A0" w:firstRow="1" w:lastRow="0" w:firstColumn="1" w:lastColumn="0" w:noHBand="0" w:noVBand="1"/>
      </w:tblPr>
      <w:tblGrid>
        <w:gridCol w:w="3535"/>
        <w:gridCol w:w="4370"/>
        <w:gridCol w:w="3402"/>
      </w:tblGrid>
      <w:tr w:rsidR="00E53122" w:rsidRPr="00703447" w:rsidTr="00E53122">
        <w:tc>
          <w:tcPr>
            <w:tcW w:w="3535" w:type="dxa"/>
          </w:tcPr>
          <w:p w:rsidR="00E53122" w:rsidRPr="002718A1" w:rsidRDefault="00E53122" w:rsidP="00E53122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Lycée qualifiant Ibnou Banae Almourrakochi</w:t>
            </w:r>
          </w:p>
        </w:tc>
        <w:tc>
          <w:tcPr>
            <w:tcW w:w="4370" w:type="dxa"/>
          </w:tcPr>
          <w:p w:rsidR="00E53122" w:rsidRPr="002718A1" w:rsidRDefault="00703447" w:rsidP="00E5312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Evaluation sommative N°3</w:t>
            </w:r>
            <w:r w:rsidR="00E53122">
              <w:rPr>
                <w:b/>
                <w:bCs/>
                <w:sz w:val="24"/>
                <w:szCs w:val="24"/>
              </w:rPr>
              <w:t xml:space="preserve"> </w:t>
            </w:r>
            <w:r w:rsidR="00E53122" w:rsidRPr="002718A1">
              <w:rPr>
                <w:b/>
                <w:bCs/>
                <w:sz w:val="24"/>
                <w:szCs w:val="24"/>
              </w:rPr>
              <w:t>SEMESTRE I</w:t>
            </w:r>
          </w:p>
        </w:tc>
        <w:tc>
          <w:tcPr>
            <w:tcW w:w="3402" w:type="dxa"/>
          </w:tcPr>
          <w:p w:rsidR="00E53122" w:rsidRPr="006F5961" w:rsidRDefault="00E53122" w:rsidP="00E53122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F5961">
              <w:rPr>
                <w:b/>
                <w:bCs/>
                <w:sz w:val="24"/>
                <w:szCs w:val="24"/>
                <w:lang w:val="en-US"/>
              </w:rPr>
              <w:t>1ere bac</w:t>
            </w:r>
            <w:r w:rsidR="006F5961" w:rsidRPr="006F5961">
              <w:rPr>
                <w:b/>
                <w:bCs/>
                <w:sz w:val="24"/>
                <w:szCs w:val="24"/>
                <w:lang w:val="en-US"/>
              </w:rPr>
              <w:t xml:space="preserve"> sc ex biof</w:t>
            </w:r>
          </w:p>
          <w:p w:rsidR="006F5961" w:rsidRPr="00703447" w:rsidRDefault="006F5961" w:rsidP="00E53122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F5961">
              <w:rPr>
                <w:b/>
                <w:bCs/>
                <w:sz w:val="24"/>
                <w:szCs w:val="24"/>
                <w:lang w:val="en-US"/>
              </w:rPr>
              <w:t>Prof :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f</w:t>
            </w:r>
            <w:r w:rsidRPr="00703447">
              <w:rPr>
                <w:b/>
                <w:bCs/>
                <w:sz w:val="24"/>
                <w:szCs w:val="24"/>
                <w:lang w:val="en-US"/>
              </w:rPr>
              <w:t>.Elmaziani</w:t>
            </w:r>
          </w:p>
        </w:tc>
      </w:tr>
      <w:tr w:rsidR="00E53122" w:rsidRPr="002718A1" w:rsidTr="00E53122">
        <w:tc>
          <w:tcPr>
            <w:tcW w:w="3535" w:type="dxa"/>
          </w:tcPr>
          <w:p w:rsidR="00E53122" w:rsidRPr="002718A1" w:rsidRDefault="00E53122" w:rsidP="00E53122">
            <w:pPr>
              <w:rPr>
                <w:b/>
                <w:bCs/>
                <w:sz w:val="24"/>
                <w:szCs w:val="24"/>
              </w:rPr>
            </w:pPr>
            <w:r w:rsidRPr="002718A1">
              <w:rPr>
                <w:b/>
                <w:bCs/>
                <w:sz w:val="24"/>
                <w:szCs w:val="24"/>
              </w:rPr>
              <w:t xml:space="preserve">Durée : </w:t>
            </w:r>
            <w:r>
              <w:rPr>
                <w:b/>
                <w:bCs/>
                <w:sz w:val="24"/>
                <w:szCs w:val="24"/>
              </w:rPr>
              <w:t>1h30’</w:t>
            </w:r>
          </w:p>
        </w:tc>
        <w:tc>
          <w:tcPr>
            <w:tcW w:w="4370" w:type="dxa"/>
          </w:tcPr>
          <w:p w:rsidR="00E53122" w:rsidRPr="002718A1" w:rsidRDefault="00E53122" w:rsidP="00E53122">
            <w:pPr>
              <w:rPr>
                <w:b/>
                <w:bCs/>
                <w:sz w:val="24"/>
                <w:szCs w:val="24"/>
              </w:rPr>
            </w:pPr>
            <w:r w:rsidRPr="002718A1">
              <w:rPr>
                <w:b/>
                <w:bCs/>
                <w:sz w:val="24"/>
                <w:szCs w:val="24"/>
              </w:rPr>
              <w:t>Science de la vie et de la terre</w:t>
            </w:r>
          </w:p>
        </w:tc>
        <w:tc>
          <w:tcPr>
            <w:tcW w:w="3402" w:type="dxa"/>
          </w:tcPr>
          <w:p w:rsidR="00E53122" w:rsidRPr="002718A1" w:rsidRDefault="00E53122" w:rsidP="00E53122">
            <w:pPr>
              <w:rPr>
                <w:b/>
                <w:bCs/>
                <w:sz w:val="24"/>
                <w:szCs w:val="24"/>
              </w:rPr>
            </w:pPr>
            <w:r w:rsidRPr="002718A1">
              <w:rPr>
                <w:b/>
                <w:bCs/>
                <w:sz w:val="24"/>
                <w:szCs w:val="24"/>
              </w:rPr>
              <w:t>Année scolaire 201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2718A1">
              <w:rPr>
                <w:b/>
                <w:bCs/>
                <w:sz w:val="24"/>
                <w:szCs w:val="24"/>
              </w:rPr>
              <w:t>/201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</w:tbl>
    <w:p w:rsidR="00E53122" w:rsidRPr="002718A1" w:rsidRDefault="00E53122" w:rsidP="00335955">
      <w:pPr>
        <w:pBdr>
          <w:top w:val="thinThickSmallGap" w:sz="24" w:space="1" w:color="auto"/>
          <w:left w:val="thinThickSmallGap" w:sz="24" w:space="31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center"/>
        <w:rPr>
          <w:b/>
          <w:bCs/>
          <w:sz w:val="24"/>
          <w:szCs w:val="24"/>
        </w:rPr>
      </w:pPr>
      <w:r w:rsidRPr="002718A1">
        <w:rPr>
          <w:b/>
          <w:bCs/>
          <w:sz w:val="24"/>
          <w:szCs w:val="24"/>
        </w:rPr>
        <w:t>Restitution des connaissances (</w:t>
      </w:r>
      <w:r w:rsidR="00335955">
        <w:rPr>
          <w:b/>
          <w:bCs/>
          <w:sz w:val="24"/>
          <w:szCs w:val="24"/>
        </w:rPr>
        <w:t>6</w:t>
      </w:r>
      <w:r w:rsidRPr="002718A1">
        <w:rPr>
          <w:b/>
          <w:bCs/>
          <w:sz w:val="24"/>
          <w:szCs w:val="24"/>
        </w:rPr>
        <w:t>points)</w:t>
      </w:r>
    </w:p>
    <w:p w:rsidR="00810B8E" w:rsidRPr="004A6C7B" w:rsidRDefault="00810B8E" w:rsidP="00810B8E">
      <w:pPr>
        <w:pStyle w:val="Default"/>
        <w:numPr>
          <w:ilvl w:val="0"/>
          <w:numId w:val="6"/>
        </w:numPr>
        <w:spacing w:after="160"/>
        <w:rPr>
          <w:rFonts w:asciiTheme="majorBidi" w:hAnsiTheme="majorBidi" w:cstheme="majorBidi"/>
        </w:rPr>
      </w:pPr>
      <w:r w:rsidRPr="004A6C7B">
        <w:rPr>
          <w:rFonts w:asciiTheme="majorBidi" w:hAnsiTheme="majorBidi" w:cstheme="majorBidi"/>
          <w:u w:val="single"/>
        </w:rPr>
        <w:t>Définissez</w:t>
      </w:r>
      <w:r w:rsidRPr="004A6C7B">
        <w:rPr>
          <w:rFonts w:asciiTheme="majorBidi" w:hAnsiTheme="majorBidi" w:cstheme="majorBidi"/>
        </w:rPr>
        <w:t xml:space="preserve"> les notions suivantes :  - </w:t>
      </w:r>
      <w:r>
        <w:rPr>
          <w:rFonts w:asciiTheme="majorBidi" w:hAnsiTheme="majorBidi" w:cstheme="majorBidi"/>
        </w:rPr>
        <w:t xml:space="preserve">paroi squelettique    </w:t>
      </w:r>
      <w:r w:rsidRPr="004A6C7B">
        <w:rPr>
          <w:rFonts w:asciiTheme="majorBidi" w:hAnsiTheme="majorBidi" w:cstheme="majorBidi"/>
        </w:rPr>
        <w:t xml:space="preserve">      - perméabilité orienté</w:t>
      </w:r>
    </w:p>
    <w:p w:rsidR="00810B8E" w:rsidRPr="00E70A38" w:rsidRDefault="00810B8E" w:rsidP="00810B8E">
      <w:pPr>
        <w:pStyle w:val="Default"/>
        <w:numPr>
          <w:ilvl w:val="0"/>
          <w:numId w:val="6"/>
        </w:numPr>
        <w:spacing w:after="160"/>
        <w:rPr>
          <w:rFonts w:asciiTheme="majorBidi" w:hAnsiTheme="majorBidi" w:cstheme="majorBidi"/>
          <w:u w:val="single"/>
        </w:rPr>
      </w:pPr>
      <w:r w:rsidRPr="00E70A38">
        <w:rPr>
          <w:rFonts w:asciiTheme="majorBidi" w:hAnsiTheme="majorBidi" w:cstheme="majorBidi"/>
          <w:u w:val="single"/>
        </w:rPr>
        <w:t>Citez</w:t>
      </w:r>
      <w:r>
        <w:rPr>
          <w:rFonts w:asciiTheme="majorBidi" w:hAnsiTheme="majorBidi" w:cstheme="majorBidi"/>
          <w:u w:val="single"/>
        </w:rPr>
        <w:t> :</w:t>
      </w:r>
      <w:r>
        <w:rPr>
          <w:rFonts w:asciiTheme="majorBidi" w:hAnsiTheme="majorBidi" w:cstheme="majorBidi"/>
          <w:u w:val="single"/>
        </w:rPr>
        <w:br/>
      </w:r>
      <w:r>
        <w:rPr>
          <w:rFonts w:asciiTheme="majorBidi" w:hAnsiTheme="majorBidi" w:cstheme="majorBidi"/>
        </w:rPr>
        <w:t>a- le paramètre contrôlant la perméabilité différentielle.</w:t>
      </w:r>
      <w:r>
        <w:rPr>
          <w:rFonts w:asciiTheme="majorBidi" w:hAnsiTheme="majorBidi" w:cstheme="majorBidi"/>
        </w:rPr>
        <w:br/>
        <w:t>b- les différents types de transport passif au niveau de la cellule végétales en donnant les caractéristiques de chaque type (dans un tableau de préférence).</w:t>
      </w:r>
    </w:p>
    <w:p w:rsidR="00810B8E" w:rsidRDefault="00810B8E" w:rsidP="00810B8E">
      <w:pPr>
        <w:pStyle w:val="Default"/>
        <w:numPr>
          <w:ilvl w:val="0"/>
          <w:numId w:val="6"/>
        </w:numPr>
        <w:spacing w:after="160"/>
        <w:rPr>
          <w:rFonts w:asciiTheme="majorBidi" w:hAnsiTheme="majorBidi" w:cstheme="majorBidi"/>
        </w:rPr>
      </w:pPr>
      <w:r w:rsidRPr="00E70A38">
        <w:rPr>
          <w:rFonts w:asciiTheme="majorBidi" w:hAnsiTheme="majorBidi" w:cstheme="majorBidi"/>
        </w:rPr>
        <w:t xml:space="preserve">Pour chacune des données numérotées de 1 à 4, une seule proposition est correcte. Recopiez les couples suivants, et choisissez pour chaque couple la lettre correspondant à la proposition correcte. </w:t>
      </w:r>
    </w:p>
    <w:tbl>
      <w:tblPr>
        <w:tblStyle w:val="Grilledutableau2"/>
        <w:tblW w:w="8967" w:type="dxa"/>
        <w:tblInd w:w="780" w:type="dxa"/>
        <w:tblLook w:val="04A0" w:firstRow="1" w:lastRow="0" w:firstColumn="1" w:lastColumn="0" w:noHBand="0" w:noVBand="1"/>
      </w:tblPr>
      <w:tblGrid>
        <w:gridCol w:w="4573"/>
        <w:gridCol w:w="4394"/>
      </w:tblGrid>
      <w:tr w:rsidR="00810B8E" w:rsidRPr="00810B8E" w:rsidTr="00E372A9">
        <w:tc>
          <w:tcPr>
            <w:tcW w:w="4573" w:type="dxa"/>
          </w:tcPr>
          <w:p w:rsidR="00810B8E" w:rsidRPr="00810B8E" w:rsidRDefault="00810B8E" w:rsidP="00810B8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10B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SA"/>
              </w:rPr>
              <w:t>La respiration chez la cellule végétale :</w:t>
            </w:r>
          </w:p>
          <w:p w:rsidR="00810B8E" w:rsidRPr="00810B8E" w:rsidRDefault="00810B8E" w:rsidP="00810B8E">
            <w:pPr>
              <w:autoSpaceDE w:val="0"/>
              <w:autoSpaceDN w:val="0"/>
              <w:adjustRightInd w:val="0"/>
              <w:ind w:left="7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10B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SA"/>
              </w:rPr>
              <w:br/>
              <w:t>1- est la sortie de dioxygène d’une cellule et entrer de CO².</w:t>
            </w:r>
          </w:p>
          <w:p w:rsidR="00810B8E" w:rsidRPr="00810B8E" w:rsidRDefault="00810B8E" w:rsidP="00810B8E">
            <w:pPr>
              <w:autoSpaceDE w:val="0"/>
              <w:autoSpaceDN w:val="0"/>
              <w:adjustRightInd w:val="0"/>
              <w:ind w:left="7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10B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SA"/>
              </w:rPr>
              <w:t>2- est la sortie de dioxyde de carbone d’une cellule et entrer de O².</w:t>
            </w:r>
          </w:p>
          <w:p w:rsidR="00810B8E" w:rsidRPr="00810B8E" w:rsidRDefault="00810B8E" w:rsidP="00810B8E">
            <w:pPr>
              <w:autoSpaceDE w:val="0"/>
              <w:autoSpaceDN w:val="0"/>
              <w:adjustRightInd w:val="0"/>
              <w:ind w:left="7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10B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SA"/>
              </w:rPr>
              <w:t>3- est le déplacement de l’eau du milieu hypotonique au milieu hypertonique</w:t>
            </w:r>
          </w:p>
        </w:tc>
        <w:tc>
          <w:tcPr>
            <w:tcW w:w="4394" w:type="dxa"/>
          </w:tcPr>
          <w:p w:rsidR="00E372A9" w:rsidRDefault="00810B8E" w:rsidP="00E372A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SA"/>
              </w:rPr>
              <w:t>L’</w:t>
            </w:r>
            <w:r w:rsidR="00E37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SA"/>
              </w:rPr>
              <w:t>absorption des sels minéraux et l’eau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SA"/>
              </w:rPr>
              <w:t xml:space="preserve"> se fait au niveau</w:t>
            </w:r>
            <w:r w:rsidRPr="00810B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SA"/>
              </w:rPr>
              <w:t>:</w:t>
            </w:r>
          </w:p>
          <w:p w:rsidR="00810B8E" w:rsidRPr="00810B8E" w:rsidRDefault="00810B8E" w:rsidP="00E372A9">
            <w:pPr>
              <w:autoSpaceDE w:val="0"/>
              <w:autoSpaceDN w:val="0"/>
              <w:adjustRightInd w:val="0"/>
              <w:spacing w:after="240"/>
              <w:ind w:left="7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10B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SA"/>
              </w:rPr>
              <w:br/>
              <w:t xml:space="preserve">1- </w:t>
            </w:r>
            <w:r w:rsidR="00E37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SA"/>
              </w:rPr>
              <w:t>des feuilles</w:t>
            </w:r>
            <w:r w:rsidRPr="00810B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SA"/>
              </w:rPr>
              <w:br/>
              <w:t xml:space="preserve">2- </w:t>
            </w:r>
            <w:r w:rsidR="00E37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SA"/>
              </w:rPr>
              <w:t>de la zone pilifère des racines</w:t>
            </w:r>
            <w:r w:rsidRPr="00810B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SA"/>
              </w:rPr>
              <w:br/>
              <w:t xml:space="preserve">3- </w:t>
            </w:r>
            <w:r w:rsidR="00E37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SA"/>
              </w:rPr>
              <w:t>de la coiffe des racines.</w:t>
            </w:r>
          </w:p>
        </w:tc>
      </w:tr>
      <w:tr w:rsidR="00810B8E" w:rsidRPr="00810B8E" w:rsidTr="00E372A9">
        <w:trPr>
          <w:trHeight w:val="1814"/>
        </w:trPr>
        <w:tc>
          <w:tcPr>
            <w:tcW w:w="4573" w:type="dxa"/>
          </w:tcPr>
          <w:p w:rsidR="00810B8E" w:rsidRPr="00810B8E" w:rsidRDefault="00810B8E" w:rsidP="00E372A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10B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SA"/>
              </w:rPr>
              <w:t>L’accumulation des solutés dans le suc vacuolaire est dû à</w:t>
            </w:r>
            <w:r w:rsidR="00E37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SA"/>
              </w:rPr>
              <w:t> :</w:t>
            </w:r>
            <w:r w:rsidR="00E372A9" w:rsidRPr="00E37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SA"/>
              </w:rPr>
              <w:br/>
              <w:t xml:space="preserve">1- la diffusion facilité des </w:t>
            </w:r>
            <w:r w:rsidRPr="00810B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SA"/>
              </w:rPr>
              <w:t>molécules.</w:t>
            </w:r>
            <w:r w:rsidRPr="00810B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SA"/>
              </w:rPr>
              <w:br/>
              <w:t>2- la perméabilité orienté.</w:t>
            </w:r>
            <w:r w:rsidRPr="00810B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SA"/>
              </w:rPr>
              <w:br/>
              <w:t>3- la perméabilité sélective.</w:t>
            </w:r>
          </w:p>
          <w:p w:rsidR="00810B8E" w:rsidRPr="00810B8E" w:rsidRDefault="00810B8E" w:rsidP="00810B8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394" w:type="dxa"/>
          </w:tcPr>
          <w:p w:rsidR="00810B8E" w:rsidRPr="00810B8E" w:rsidRDefault="00810B8E" w:rsidP="00810B8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10B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SA"/>
              </w:rPr>
              <w:t>Les cellules végétales sont normalement dans l’état de :</w:t>
            </w:r>
            <w:r w:rsidRPr="00810B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SA"/>
              </w:rPr>
              <w:br/>
              <w:t>1- plasmolyse.</w:t>
            </w:r>
            <w:r w:rsidRPr="00810B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SA"/>
              </w:rPr>
              <w:br/>
              <w:t>2- turgescence.</w:t>
            </w:r>
            <w:r w:rsidRPr="00810B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SA"/>
              </w:rPr>
              <w:br/>
              <w:t>3- d’équilibre avec le milieu interne.</w:t>
            </w:r>
            <w:r w:rsidRPr="00810B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SA"/>
              </w:rPr>
              <w:br/>
              <w:t xml:space="preserve"> </w:t>
            </w:r>
          </w:p>
        </w:tc>
      </w:tr>
    </w:tbl>
    <w:p w:rsidR="00810B8E" w:rsidRPr="00E372A9" w:rsidRDefault="00810B8E" w:rsidP="00E372A9">
      <w:pPr>
        <w:pStyle w:val="Default"/>
        <w:spacing w:after="160"/>
        <w:rPr>
          <w:rFonts w:asciiTheme="majorBidi" w:hAnsiTheme="majorBidi" w:cstheme="majorBidi"/>
        </w:rPr>
      </w:pPr>
    </w:p>
    <w:p w:rsidR="00335955" w:rsidRPr="00810B8E" w:rsidRDefault="00335955" w:rsidP="00810B8E">
      <w:pPr>
        <w:pBdr>
          <w:top w:val="thinThickSmallGap" w:sz="24" w:space="1" w:color="auto"/>
          <w:left w:val="thinThickSmallGap" w:sz="24" w:space="31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center"/>
        <w:rPr>
          <w:b/>
          <w:bCs/>
          <w:sz w:val="24"/>
          <w:szCs w:val="24"/>
        </w:rPr>
      </w:pPr>
      <w:r w:rsidRPr="00810B8E">
        <w:rPr>
          <w:b/>
          <w:bCs/>
          <w:sz w:val="24"/>
          <w:szCs w:val="24"/>
        </w:rPr>
        <w:t>Raisonnement scientifique et communication graphique et écrite (14 points)</w:t>
      </w:r>
    </w:p>
    <w:p w:rsidR="00335955" w:rsidRPr="00335955" w:rsidRDefault="00335955" w:rsidP="00335955">
      <w:pPr>
        <w:rPr>
          <w:rFonts w:ascii="Calibri" w:eastAsia="Calibri" w:hAnsi="Calibri" w:cs="Arial"/>
          <w:sz w:val="24"/>
          <w:szCs w:val="24"/>
        </w:rPr>
      </w:pPr>
      <w:r w:rsidRPr="00335955">
        <w:rPr>
          <w:rFonts w:ascii="Calibri" w:eastAsia="Calibri" w:hAnsi="Calibri" w:cs="Arial"/>
          <w:b/>
          <w:bCs/>
          <w:sz w:val="24"/>
          <w:szCs w:val="24"/>
        </w:rPr>
        <w:t>Exercice 1 :</w:t>
      </w:r>
      <w:r w:rsidRPr="00335955">
        <w:rPr>
          <w:rFonts w:ascii="Calibri" w:eastAsia="Calibri" w:hAnsi="Calibri" w:cs="Arial"/>
          <w:sz w:val="24"/>
          <w:szCs w:val="24"/>
        </w:rPr>
        <w:t xml:space="preserve"> </w:t>
      </w:r>
      <w:r w:rsidR="00853E1D">
        <w:rPr>
          <w:rFonts w:ascii="Calibri" w:eastAsia="Calibri" w:hAnsi="Calibri" w:cs="Arial"/>
          <w:sz w:val="24"/>
          <w:szCs w:val="24"/>
        </w:rPr>
        <w:t>(10pts)</w:t>
      </w:r>
    </w:p>
    <w:p w:rsidR="00703447" w:rsidRPr="00703447" w:rsidRDefault="00703447" w:rsidP="00703447">
      <w:pPr>
        <w:spacing w:line="240" w:lineRule="auto"/>
        <w:rPr>
          <w:rFonts w:asciiTheme="majorBidi" w:hAnsiTheme="majorBidi" w:cstheme="majorBidi"/>
          <w:lang w:bidi="ar-SA"/>
        </w:rPr>
      </w:pPr>
      <w:r w:rsidRPr="00703447">
        <w:rPr>
          <w:rFonts w:asciiTheme="majorBidi" w:hAnsiTheme="majorBidi" w:cstheme="majorBidi"/>
          <w:lang w:bidi="ar-SA"/>
        </w:rPr>
        <w:t>On prélève 10 fragments d’épiderme supérieur de fleur d’hibiscus, et on</w:t>
      </w:r>
      <w:r>
        <w:rPr>
          <w:rFonts w:asciiTheme="majorBidi" w:hAnsiTheme="majorBidi" w:cstheme="majorBidi"/>
          <w:lang w:bidi="ar-SA"/>
        </w:rPr>
        <w:t xml:space="preserve"> </w:t>
      </w:r>
      <w:r w:rsidRPr="00703447">
        <w:rPr>
          <w:rFonts w:asciiTheme="majorBidi" w:hAnsiTheme="majorBidi" w:cstheme="majorBidi"/>
          <w:lang w:bidi="ar-SA"/>
        </w:rPr>
        <w:t>les place dans des montres en vitre contenants des solutions de saccharose de concentrations croissantes dans une température de 17°C.</w:t>
      </w:r>
    </w:p>
    <w:p w:rsidR="00703447" w:rsidRPr="00703447" w:rsidRDefault="00703447" w:rsidP="00703447">
      <w:pPr>
        <w:spacing w:line="240" w:lineRule="auto"/>
        <w:rPr>
          <w:rFonts w:asciiTheme="majorBidi" w:hAnsiTheme="majorBidi" w:cstheme="majorBidi"/>
          <w:lang w:bidi="ar-SA"/>
        </w:rPr>
      </w:pPr>
      <w:r w:rsidRPr="00703447">
        <w:rPr>
          <w:rFonts w:asciiTheme="majorBidi" w:hAnsiTheme="majorBidi" w:cstheme="majorBidi"/>
          <w:lang w:bidi="ar-SA"/>
        </w:rPr>
        <w:t>Pour déterminer la pression osmotique moyenne, on se base sur  l’observation microscopique, le nombre des cellules plasmolysées et les cellules  turgescentes parmi 26 cellules observés.</w:t>
      </w:r>
    </w:p>
    <w:p w:rsidR="00703447" w:rsidRPr="00703447" w:rsidRDefault="00703447" w:rsidP="00703447">
      <w:pPr>
        <w:spacing w:line="240" w:lineRule="auto"/>
        <w:rPr>
          <w:rFonts w:asciiTheme="majorBidi" w:hAnsiTheme="majorBidi" w:cstheme="majorBidi"/>
          <w:lang w:bidi="ar-SA"/>
        </w:rPr>
      </w:pPr>
      <w:r w:rsidRPr="00703447">
        <w:rPr>
          <w:rFonts w:asciiTheme="majorBidi" w:hAnsiTheme="majorBidi" w:cstheme="majorBidi"/>
          <w:lang w:bidi="ar-SA"/>
        </w:rPr>
        <w:t>Le tableau suivant résume les résultats obtenus :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2302"/>
        <w:gridCol w:w="1151"/>
        <w:gridCol w:w="1151"/>
        <w:gridCol w:w="1152"/>
        <w:gridCol w:w="1152"/>
        <w:gridCol w:w="1152"/>
        <w:gridCol w:w="1152"/>
      </w:tblGrid>
      <w:tr w:rsidR="00703447" w:rsidRPr="00703447" w:rsidTr="00D613F2">
        <w:tc>
          <w:tcPr>
            <w:tcW w:w="2302" w:type="dxa"/>
          </w:tcPr>
          <w:p w:rsidR="00703447" w:rsidRPr="00703447" w:rsidRDefault="00703447" w:rsidP="00703447">
            <w:pPr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703447">
              <w:rPr>
                <w:rFonts w:asciiTheme="majorBidi" w:hAnsiTheme="majorBidi" w:cstheme="majorBidi"/>
                <w:b/>
                <w:bCs/>
                <w:lang w:bidi="ar-SA"/>
              </w:rPr>
              <w:t>Concentration de la solution en mol /l</w:t>
            </w:r>
          </w:p>
        </w:tc>
        <w:tc>
          <w:tcPr>
            <w:tcW w:w="1151" w:type="dxa"/>
          </w:tcPr>
          <w:p w:rsidR="00703447" w:rsidRPr="00703447" w:rsidRDefault="00703447" w:rsidP="00703447">
            <w:pPr>
              <w:rPr>
                <w:rFonts w:asciiTheme="majorBidi" w:hAnsiTheme="majorBidi" w:cstheme="majorBidi"/>
                <w:lang w:bidi="ar-SA"/>
              </w:rPr>
            </w:pPr>
            <w:r w:rsidRPr="00703447">
              <w:rPr>
                <w:rFonts w:asciiTheme="majorBidi" w:hAnsiTheme="majorBidi" w:cstheme="majorBidi"/>
                <w:lang w:bidi="ar-SA"/>
              </w:rPr>
              <w:t>0 .1</w:t>
            </w:r>
          </w:p>
        </w:tc>
        <w:tc>
          <w:tcPr>
            <w:tcW w:w="1151" w:type="dxa"/>
          </w:tcPr>
          <w:p w:rsidR="00703447" w:rsidRPr="00703447" w:rsidRDefault="00703447" w:rsidP="00703447">
            <w:pPr>
              <w:rPr>
                <w:rFonts w:asciiTheme="majorBidi" w:hAnsiTheme="majorBidi" w:cstheme="majorBidi"/>
                <w:lang w:bidi="ar-SA"/>
              </w:rPr>
            </w:pPr>
            <w:r w:rsidRPr="00703447">
              <w:rPr>
                <w:rFonts w:asciiTheme="majorBidi" w:hAnsiTheme="majorBidi" w:cstheme="majorBidi"/>
                <w:lang w:bidi="ar-SA"/>
              </w:rPr>
              <w:t>0.2</w:t>
            </w:r>
          </w:p>
        </w:tc>
        <w:tc>
          <w:tcPr>
            <w:tcW w:w="1152" w:type="dxa"/>
          </w:tcPr>
          <w:p w:rsidR="00703447" w:rsidRPr="00703447" w:rsidRDefault="00703447" w:rsidP="00703447">
            <w:pPr>
              <w:rPr>
                <w:rFonts w:asciiTheme="majorBidi" w:hAnsiTheme="majorBidi" w:cstheme="majorBidi"/>
                <w:lang w:bidi="ar-SA"/>
              </w:rPr>
            </w:pPr>
            <w:r w:rsidRPr="00703447">
              <w:rPr>
                <w:rFonts w:asciiTheme="majorBidi" w:hAnsiTheme="majorBidi" w:cstheme="majorBidi"/>
                <w:lang w:bidi="ar-SA"/>
              </w:rPr>
              <w:t>0.3</w:t>
            </w:r>
          </w:p>
        </w:tc>
        <w:tc>
          <w:tcPr>
            <w:tcW w:w="1152" w:type="dxa"/>
          </w:tcPr>
          <w:p w:rsidR="00703447" w:rsidRPr="00703447" w:rsidRDefault="00703447" w:rsidP="00703447">
            <w:pPr>
              <w:rPr>
                <w:rFonts w:asciiTheme="majorBidi" w:hAnsiTheme="majorBidi" w:cstheme="majorBidi"/>
                <w:lang w:bidi="ar-SA"/>
              </w:rPr>
            </w:pPr>
            <w:r w:rsidRPr="00703447">
              <w:rPr>
                <w:rFonts w:asciiTheme="majorBidi" w:hAnsiTheme="majorBidi" w:cstheme="majorBidi"/>
                <w:lang w:bidi="ar-SA"/>
              </w:rPr>
              <w:t>0.4</w:t>
            </w:r>
          </w:p>
        </w:tc>
        <w:tc>
          <w:tcPr>
            <w:tcW w:w="1152" w:type="dxa"/>
          </w:tcPr>
          <w:p w:rsidR="00703447" w:rsidRPr="00703447" w:rsidRDefault="00703447" w:rsidP="00703447">
            <w:pPr>
              <w:rPr>
                <w:rFonts w:asciiTheme="majorBidi" w:hAnsiTheme="majorBidi" w:cstheme="majorBidi"/>
                <w:lang w:bidi="ar-SA"/>
              </w:rPr>
            </w:pPr>
            <w:r w:rsidRPr="00703447">
              <w:rPr>
                <w:rFonts w:asciiTheme="majorBidi" w:hAnsiTheme="majorBidi" w:cstheme="majorBidi"/>
                <w:lang w:bidi="ar-SA"/>
              </w:rPr>
              <w:t>0.5</w:t>
            </w:r>
          </w:p>
        </w:tc>
        <w:tc>
          <w:tcPr>
            <w:tcW w:w="1152" w:type="dxa"/>
          </w:tcPr>
          <w:p w:rsidR="00703447" w:rsidRPr="00703447" w:rsidRDefault="00703447" w:rsidP="00703447">
            <w:pPr>
              <w:rPr>
                <w:rFonts w:asciiTheme="majorBidi" w:hAnsiTheme="majorBidi" w:cstheme="majorBidi"/>
                <w:lang w:bidi="ar-SA"/>
              </w:rPr>
            </w:pPr>
            <w:r w:rsidRPr="00703447">
              <w:rPr>
                <w:rFonts w:asciiTheme="majorBidi" w:hAnsiTheme="majorBidi" w:cstheme="majorBidi"/>
                <w:lang w:bidi="ar-SA"/>
              </w:rPr>
              <w:t>1</w:t>
            </w:r>
          </w:p>
        </w:tc>
      </w:tr>
      <w:tr w:rsidR="00703447" w:rsidRPr="00703447" w:rsidTr="00D613F2">
        <w:tc>
          <w:tcPr>
            <w:tcW w:w="2302" w:type="dxa"/>
          </w:tcPr>
          <w:p w:rsidR="00703447" w:rsidRPr="00703447" w:rsidRDefault="00703447" w:rsidP="00703447">
            <w:pPr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703447">
              <w:rPr>
                <w:rFonts w:asciiTheme="majorBidi" w:hAnsiTheme="majorBidi" w:cstheme="majorBidi"/>
                <w:b/>
                <w:bCs/>
                <w:lang w:bidi="ar-SA"/>
              </w:rPr>
              <w:t>Nombre de cellules plasmolysées</w:t>
            </w:r>
          </w:p>
        </w:tc>
        <w:tc>
          <w:tcPr>
            <w:tcW w:w="1151" w:type="dxa"/>
          </w:tcPr>
          <w:p w:rsidR="00703447" w:rsidRPr="00703447" w:rsidRDefault="00703447" w:rsidP="00703447">
            <w:pPr>
              <w:rPr>
                <w:rFonts w:asciiTheme="majorBidi" w:hAnsiTheme="majorBidi" w:cstheme="majorBidi"/>
                <w:lang w:bidi="ar-SA"/>
              </w:rPr>
            </w:pPr>
            <w:r w:rsidRPr="00703447">
              <w:rPr>
                <w:rFonts w:asciiTheme="majorBidi" w:hAnsiTheme="majorBidi" w:cstheme="majorBidi"/>
                <w:lang w:bidi="ar-SA"/>
              </w:rPr>
              <w:t>1</w:t>
            </w:r>
          </w:p>
        </w:tc>
        <w:tc>
          <w:tcPr>
            <w:tcW w:w="1151" w:type="dxa"/>
          </w:tcPr>
          <w:p w:rsidR="00703447" w:rsidRPr="00703447" w:rsidRDefault="00703447" w:rsidP="00703447">
            <w:pPr>
              <w:rPr>
                <w:rFonts w:asciiTheme="majorBidi" w:hAnsiTheme="majorBidi" w:cstheme="majorBidi"/>
                <w:lang w:bidi="ar-SA"/>
              </w:rPr>
            </w:pPr>
            <w:r w:rsidRPr="00703447">
              <w:rPr>
                <w:rFonts w:asciiTheme="majorBidi" w:hAnsiTheme="majorBidi" w:cstheme="majorBidi"/>
                <w:lang w:bidi="ar-SA"/>
              </w:rPr>
              <w:t>6</w:t>
            </w:r>
          </w:p>
        </w:tc>
        <w:tc>
          <w:tcPr>
            <w:tcW w:w="1152" w:type="dxa"/>
          </w:tcPr>
          <w:p w:rsidR="00703447" w:rsidRPr="00703447" w:rsidRDefault="00703447" w:rsidP="00703447">
            <w:pPr>
              <w:rPr>
                <w:rFonts w:asciiTheme="majorBidi" w:hAnsiTheme="majorBidi" w:cstheme="majorBidi"/>
                <w:lang w:bidi="ar-SA"/>
              </w:rPr>
            </w:pPr>
            <w:r w:rsidRPr="00703447">
              <w:rPr>
                <w:rFonts w:asciiTheme="majorBidi" w:hAnsiTheme="majorBidi" w:cstheme="majorBidi"/>
                <w:lang w:bidi="ar-SA"/>
              </w:rPr>
              <w:t>13</w:t>
            </w:r>
          </w:p>
        </w:tc>
        <w:tc>
          <w:tcPr>
            <w:tcW w:w="1152" w:type="dxa"/>
          </w:tcPr>
          <w:p w:rsidR="00703447" w:rsidRPr="00703447" w:rsidRDefault="00703447" w:rsidP="00703447">
            <w:pPr>
              <w:rPr>
                <w:rFonts w:asciiTheme="majorBidi" w:hAnsiTheme="majorBidi" w:cstheme="majorBidi"/>
                <w:lang w:bidi="ar-SA"/>
              </w:rPr>
            </w:pPr>
            <w:r w:rsidRPr="00703447">
              <w:rPr>
                <w:rFonts w:asciiTheme="majorBidi" w:hAnsiTheme="majorBidi" w:cstheme="majorBidi"/>
                <w:lang w:bidi="ar-SA"/>
              </w:rPr>
              <w:t>19</w:t>
            </w:r>
          </w:p>
        </w:tc>
        <w:tc>
          <w:tcPr>
            <w:tcW w:w="1152" w:type="dxa"/>
          </w:tcPr>
          <w:p w:rsidR="00703447" w:rsidRPr="00703447" w:rsidRDefault="00703447" w:rsidP="00703447">
            <w:pPr>
              <w:rPr>
                <w:rFonts w:asciiTheme="majorBidi" w:hAnsiTheme="majorBidi" w:cstheme="majorBidi"/>
                <w:lang w:bidi="ar-SA"/>
              </w:rPr>
            </w:pPr>
            <w:r w:rsidRPr="00703447">
              <w:rPr>
                <w:rFonts w:asciiTheme="majorBidi" w:hAnsiTheme="majorBidi" w:cstheme="majorBidi"/>
                <w:lang w:bidi="ar-SA"/>
              </w:rPr>
              <w:t>26</w:t>
            </w:r>
          </w:p>
        </w:tc>
        <w:tc>
          <w:tcPr>
            <w:tcW w:w="1152" w:type="dxa"/>
          </w:tcPr>
          <w:p w:rsidR="00703447" w:rsidRPr="00703447" w:rsidRDefault="00703447" w:rsidP="00703447">
            <w:pPr>
              <w:rPr>
                <w:rFonts w:asciiTheme="majorBidi" w:hAnsiTheme="majorBidi" w:cstheme="majorBidi"/>
                <w:lang w:bidi="ar-SA"/>
              </w:rPr>
            </w:pPr>
            <w:r w:rsidRPr="00703447">
              <w:rPr>
                <w:rFonts w:asciiTheme="majorBidi" w:hAnsiTheme="majorBidi" w:cstheme="majorBidi"/>
                <w:lang w:bidi="ar-SA"/>
              </w:rPr>
              <w:t>26</w:t>
            </w:r>
          </w:p>
        </w:tc>
      </w:tr>
    </w:tbl>
    <w:p w:rsidR="00703447" w:rsidRPr="00703447" w:rsidRDefault="00703447" w:rsidP="00703447">
      <w:pPr>
        <w:spacing w:line="240" w:lineRule="auto"/>
        <w:rPr>
          <w:rFonts w:asciiTheme="majorBidi" w:hAnsiTheme="majorBidi" w:cstheme="majorBidi"/>
          <w:lang w:bidi="ar-SA"/>
        </w:rPr>
      </w:pPr>
    </w:p>
    <w:p w:rsidR="00703447" w:rsidRPr="00703447" w:rsidRDefault="00703447" w:rsidP="00703447">
      <w:pPr>
        <w:numPr>
          <w:ilvl w:val="0"/>
          <w:numId w:val="5"/>
        </w:numPr>
        <w:spacing w:line="240" w:lineRule="auto"/>
        <w:contextualSpacing/>
        <w:rPr>
          <w:rFonts w:asciiTheme="majorBidi" w:hAnsiTheme="majorBidi" w:cstheme="majorBidi"/>
          <w:lang w:bidi="ar-SA"/>
        </w:rPr>
      </w:pPr>
      <w:r w:rsidRPr="00703447">
        <w:rPr>
          <w:rFonts w:asciiTheme="majorBidi" w:hAnsiTheme="majorBidi" w:cstheme="majorBidi"/>
          <w:lang w:bidi="ar-SA"/>
        </w:rPr>
        <w:t>Réaliser un schéma annoté pour une cellule plasmolysée.</w:t>
      </w:r>
    </w:p>
    <w:p w:rsidR="00703447" w:rsidRPr="00703447" w:rsidRDefault="00703447" w:rsidP="00703447">
      <w:pPr>
        <w:numPr>
          <w:ilvl w:val="0"/>
          <w:numId w:val="5"/>
        </w:numPr>
        <w:spacing w:line="240" w:lineRule="auto"/>
        <w:contextualSpacing/>
        <w:rPr>
          <w:rFonts w:asciiTheme="majorBidi" w:hAnsiTheme="majorBidi" w:cstheme="majorBidi"/>
          <w:lang w:bidi="ar-SA"/>
        </w:rPr>
      </w:pPr>
      <w:r w:rsidRPr="00703447">
        <w:rPr>
          <w:rFonts w:asciiTheme="majorBidi" w:hAnsiTheme="majorBidi" w:cstheme="majorBidi"/>
          <w:lang w:bidi="ar-SA"/>
        </w:rPr>
        <w:t>Expliquer comment la cellule se plasmolyse ?</w:t>
      </w:r>
    </w:p>
    <w:p w:rsidR="00703447" w:rsidRPr="00703447" w:rsidRDefault="00703447" w:rsidP="00703447">
      <w:pPr>
        <w:numPr>
          <w:ilvl w:val="0"/>
          <w:numId w:val="5"/>
        </w:numPr>
        <w:spacing w:line="240" w:lineRule="auto"/>
        <w:contextualSpacing/>
        <w:rPr>
          <w:rFonts w:asciiTheme="majorBidi" w:hAnsiTheme="majorBidi" w:cstheme="majorBidi"/>
          <w:lang w:bidi="ar-SA"/>
        </w:rPr>
      </w:pPr>
      <w:r w:rsidRPr="00703447">
        <w:rPr>
          <w:rFonts w:asciiTheme="majorBidi" w:hAnsiTheme="majorBidi" w:cstheme="majorBidi"/>
          <w:lang w:bidi="ar-SA"/>
        </w:rPr>
        <w:t xml:space="preserve">Calculer le pourcentage des cellules plasmolysées dans les différentes concentrations. </w:t>
      </w:r>
    </w:p>
    <w:p w:rsidR="00703447" w:rsidRPr="00703447" w:rsidRDefault="00703447" w:rsidP="00703447">
      <w:pPr>
        <w:numPr>
          <w:ilvl w:val="0"/>
          <w:numId w:val="5"/>
        </w:numPr>
        <w:spacing w:line="240" w:lineRule="auto"/>
        <w:contextualSpacing/>
        <w:rPr>
          <w:rFonts w:asciiTheme="majorBidi" w:hAnsiTheme="majorBidi" w:cstheme="majorBidi"/>
          <w:lang w:bidi="ar-SA"/>
        </w:rPr>
      </w:pPr>
      <w:r w:rsidRPr="00703447">
        <w:rPr>
          <w:rFonts w:asciiTheme="majorBidi" w:hAnsiTheme="majorBidi" w:cstheme="majorBidi"/>
          <w:lang w:bidi="ar-SA"/>
        </w:rPr>
        <w:lastRenderedPageBreak/>
        <w:t>Réaliser la courbe de variation des pourcentages des cellules plasmolysées en fonctions de la concentration de la solution de saccharose.</w:t>
      </w:r>
    </w:p>
    <w:p w:rsidR="00703447" w:rsidRPr="00703447" w:rsidRDefault="00703447" w:rsidP="00703447">
      <w:pPr>
        <w:numPr>
          <w:ilvl w:val="0"/>
          <w:numId w:val="5"/>
        </w:numPr>
        <w:spacing w:line="240" w:lineRule="auto"/>
        <w:contextualSpacing/>
        <w:rPr>
          <w:rFonts w:asciiTheme="majorBidi" w:hAnsiTheme="majorBidi" w:cstheme="majorBidi"/>
          <w:lang w:bidi="ar-SA"/>
        </w:rPr>
      </w:pPr>
      <w:r w:rsidRPr="00703447">
        <w:rPr>
          <w:rFonts w:asciiTheme="majorBidi" w:hAnsiTheme="majorBidi" w:cstheme="majorBidi"/>
          <w:lang w:bidi="ar-SA"/>
        </w:rPr>
        <w:t>Analysée la courbe obtenue.</w:t>
      </w:r>
    </w:p>
    <w:p w:rsidR="00703447" w:rsidRPr="00703447" w:rsidRDefault="00703447" w:rsidP="00703447">
      <w:pPr>
        <w:numPr>
          <w:ilvl w:val="0"/>
          <w:numId w:val="5"/>
        </w:numPr>
        <w:spacing w:line="240" w:lineRule="auto"/>
        <w:contextualSpacing/>
        <w:rPr>
          <w:rFonts w:asciiTheme="majorBidi" w:hAnsiTheme="majorBidi" w:cstheme="majorBidi"/>
          <w:lang w:bidi="ar-SA"/>
        </w:rPr>
      </w:pPr>
      <w:r w:rsidRPr="00703447">
        <w:rPr>
          <w:rFonts w:asciiTheme="majorBidi" w:hAnsiTheme="majorBidi" w:cstheme="majorBidi"/>
          <w:lang w:bidi="ar-SA"/>
        </w:rPr>
        <w:t>Sachant que dans un milieu isotonique 50% des cellules se plasmolysent,  calculer la pression osmotique dans ce cas.</w:t>
      </w:r>
    </w:p>
    <w:p w:rsidR="006D1A72" w:rsidRDefault="003D6934" w:rsidP="004B2A08">
      <w:r w:rsidRPr="003D6934">
        <w:rPr>
          <w:rFonts w:ascii="Calibri" w:eastAsia="Calibri" w:hAnsi="Calibri" w:cs="Arial"/>
          <w:b/>
          <w:bCs/>
          <w:sz w:val="24"/>
          <w:szCs w:val="24"/>
        </w:rPr>
        <w:t>Exercice 2 </w:t>
      </w:r>
      <w:r>
        <w:rPr>
          <w:rFonts w:ascii="Calibri" w:eastAsia="Calibri" w:hAnsi="Calibri" w:cs="Arial"/>
          <w:sz w:val="24"/>
          <w:szCs w:val="24"/>
        </w:rPr>
        <w:t>(4pts)</w:t>
      </w:r>
    </w:p>
    <w:p w:rsidR="00810B8E" w:rsidRPr="006776B6" w:rsidRDefault="00810B8E" w:rsidP="00810B8E">
      <w:pPr>
        <w:spacing w:line="240" w:lineRule="auto"/>
        <w:rPr>
          <w:rFonts w:asciiTheme="majorBidi" w:hAnsiTheme="majorBidi" w:cstheme="majorBidi"/>
          <w:lang w:bidi="ar-SA"/>
        </w:rPr>
      </w:pPr>
      <w:r w:rsidRPr="006776B6">
        <w:rPr>
          <w:rFonts w:asciiTheme="majorBidi" w:hAnsiTheme="majorBidi" w:cstheme="majorBidi"/>
          <w:lang w:bidi="ar-SA"/>
        </w:rPr>
        <w:t>L’absorption d’eau se fait au niveau des racines qui sont des organes adaptés à cette</w:t>
      </w:r>
      <w:r w:rsidRPr="00810B8E">
        <w:rPr>
          <w:rFonts w:asciiTheme="majorBidi" w:hAnsiTheme="majorBidi" w:cstheme="majorBidi"/>
          <w:lang w:bidi="ar-SA"/>
        </w:rPr>
        <w:t xml:space="preserve"> </w:t>
      </w:r>
      <w:r w:rsidRPr="006776B6">
        <w:rPr>
          <w:rFonts w:asciiTheme="majorBidi" w:hAnsiTheme="majorBidi" w:cstheme="majorBidi"/>
          <w:lang w:bidi="ar-SA"/>
        </w:rPr>
        <w:t>fonction : leurs pois absorbants représentent une surface d’échange considérable entre la</w:t>
      </w:r>
      <w:r w:rsidRPr="00810B8E">
        <w:rPr>
          <w:rFonts w:asciiTheme="majorBidi" w:hAnsiTheme="majorBidi" w:cstheme="majorBidi"/>
          <w:lang w:bidi="ar-SA"/>
        </w:rPr>
        <w:t xml:space="preserve"> </w:t>
      </w:r>
      <w:r w:rsidRPr="006776B6">
        <w:rPr>
          <w:rFonts w:asciiTheme="majorBidi" w:hAnsiTheme="majorBidi" w:cstheme="majorBidi"/>
          <w:lang w:bidi="ar-SA"/>
        </w:rPr>
        <w:t>plante et le sol. Les valeurs suivantes indiquent les pressions osmotiques en atmosphère dans</w:t>
      </w:r>
      <w:r w:rsidRPr="00810B8E">
        <w:rPr>
          <w:rFonts w:asciiTheme="majorBidi" w:hAnsiTheme="majorBidi" w:cstheme="majorBidi"/>
          <w:lang w:bidi="ar-SA"/>
        </w:rPr>
        <w:t xml:space="preserve"> </w:t>
      </w:r>
      <w:r w:rsidRPr="006776B6">
        <w:rPr>
          <w:rFonts w:asciiTheme="majorBidi" w:hAnsiTheme="majorBidi" w:cstheme="majorBidi"/>
          <w:lang w:bidi="ar-SA"/>
        </w:rPr>
        <w:t xml:space="preserve">les différentes cellules de la racine de </w:t>
      </w:r>
      <w:r w:rsidRPr="00810B8E">
        <w:rPr>
          <w:rFonts w:asciiTheme="majorBidi" w:hAnsiTheme="majorBidi" w:cstheme="majorBidi"/>
          <w:lang w:bidi="ar-SA"/>
        </w:rPr>
        <w:t>fève depuis les poils absorbants jusqu’au parenchyme</w:t>
      </w:r>
      <w:r w:rsidRPr="006776B6">
        <w:rPr>
          <w:rFonts w:asciiTheme="majorBidi" w:hAnsiTheme="majorBidi" w:cstheme="majorBidi"/>
          <w:lang w:bidi="ar-SA"/>
        </w:rPr>
        <w:t xml:space="preserve"> : 3 ; 1.4 ; 0.7 ; 1.8 ; 2.1 ; 2.8.</w:t>
      </w:r>
    </w:p>
    <w:p w:rsidR="00810B8E" w:rsidRPr="006776B6" w:rsidRDefault="00810B8E" w:rsidP="00810B8E">
      <w:pPr>
        <w:spacing w:line="240" w:lineRule="auto"/>
        <w:rPr>
          <w:rFonts w:asciiTheme="majorBidi" w:hAnsiTheme="majorBidi" w:cstheme="majorBidi"/>
          <w:lang w:bidi="ar-SA"/>
        </w:rPr>
      </w:pPr>
      <w:r w:rsidRPr="00810B8E">
        <w:rPr>
          <w:rFonts w:asciiTheme="majorBidi" w:hAnsiTheme="majorBidi" w:cstheme="majorBidi"/>
          <w:lang w:bidi="ar-SA"/>
        </w:rPr>
        <w:t xml:space="preserve">       1- </w:t>
      </w:r>
      <w:r w:rsidRPr="006776B6">
        <w:rPr>
          <w:rFonts w:asciiTheme="majorBidi" w:hAnsiTheme="majorBidi" w:cstheme="majorBidi"/>
          <w:lang w:bidi="ar-SA"/>
        </w:rPr>
        <w:t>Placez les valeurs des différentes pressions dans les cases correspondantes,</w:t>
      </w:r>
      <w:r w:rsidRPr="00810B8E">
        <w:rPr>
          <w:rFonts w:asciiTheme="majorBidi" w:hAnsiTheme="majorBidi" w:cstheme="majorBidi"/>
          <w:lang w:bidi="ar-SA"/>
        </w:rPr>
        <w:t xml:space="preserve"> </w:t>
      </w:r>
      <w:r w:rsidRPr="006776B6">
        <w:rPr>
          <w:rFonts w:asciiTheme="majorBidi" w:hAnsiTheme="majorBidi" w:cstheme="majorBidi"/>
          <w:lang w:bidi="ar-SA"/>
        </w:rPr>
        <w:t>en se basant sur la loi de l’osmose</w:t>
      </w:r>
    </w:p>
    <w:p w:rsidR="00810B8E" w:rsidRPr="006776B6" w:rsidRDefault="00810B8E" w:rsidP="00810B8E">
      <w:pPr>
        <w:spacing w:line="240" w:lineRule="auto"/>
        <w:rPr>
          <w:rFonts w:asciiTheme="majorBidi" w:hAnsiTheme="majorBidi" w:cstheme="majorBidi"/>
          <w:lang w:bidi="ar-SA"/>
        </w:rPr>
      </w:pPr>
      <w:r w:rsidRPr="00810B8E">
        <w:rPr>
          <w:rFonts w:asciiTheme="majorBidi" w:hAnsiTheme="majorBidi" w:cstheme="majorBidi"/>
          <w:lang w:bidi="ar-SA"/>
        </w:rPr>
        <w:t xml:space="preserve">      2- </w:t>
      </w:r>
      <w:r w:rsidRPr="006776B6">
        <w:rPr>
          <w:rFonts w:asciiTheme="majorBidi" w:hAnsiTheme="majorBidi" w:cstheme="majorBidi"/>
          <w:lang w:bidi="ar-SA"/>
        </w:rPr>
        <w:t>Décrivez la conduction de l’eau au niveau des cellules de la racine</w:t>
      </w:r>
    </w:p>
    <w:p w:rsidR="00810B8E" w:rsidRPr="00810B8E" w:rsidRDefault="00810B8E" w:rsidP="00810B8E">
      <w:pPr>
        <w:spacing w:line="240" w:lineRule="auto"/>
        <w:rPr>
          <w:rFonts w:asciiTheme="majorBidi" w:hAnsiTheme="majorBidi" w:cstheme="majorBidi"/>
          <w:lang w:bidi="ar-SA"/>
        </w:rPr>
      </w:pPr>
      <w:r w:rsidRPr="00810B8E">
        <w:rPr>
          <w:rFonts w:asciiTheme="majorBidi" w:hAnsiTheme="majorBidi" w:cstheme="majorBidi"/>
          <w:lang w:bidi="ar-SA"/>
        </w:rPr>
        <w:t xml:space="preserve">      3- Décrivez le passage des solutés depuis les poils absorbants jusqu’au parenchyme.</w:t>
      </w:r>
    </w:p>
    <w:p w:rsidR="00810B8E" w:rsidRPr="00810B8E" w:rsidRDefault="00810B8E" w:rsidP="00810B8E">
      <w:pPr>
        <w:spacing w:line="240" w:lineRule="auto"/>
        <w:rPr>
          <w:rFonts w:asciiTheme="majorBidi" w:hAnsiTheme="majorBidi" w:cstheme="majorBidi"/>
          <w:lang w:bidi="ar-SA"/>
        </w:rPr>
      </w:pPr>
      <w:r w:rsidRPr="00810B8E">
        <w:rPr>
          <w:rFonts w:asciiTheme="majorBidi" w:hAnsiTheme="majorBidi" w:cstheme="majorBidi"/>
          <w:lang w:bidi="ar-SA"/>
        </w:rPr>
        <w:t xml:space="preserve">                          </w:t>
      </w:r>
      <w:r w:rsidRPr="00810B8E">
        <w:rPr>
          <w:rFonts w:asciiTheme="majorBidi" w:hAnsiTheme="majorBidi" w:cstheme="majorBidi"/>
          <w:noProof/>
          <w:lang w:bidi="ar-SA"/>
        </w:rPr>
        <w:drawing>
          <wp:inline distT="0" distB="0" distL="0" distR="0" wp14:anchorId="66254A4F" wp14:editId="3FA0A904">
            <wp:extent cx="3800475" cy="22860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2A9" w:rsidRPr="006776B6" w:rsidRDefault="00E372A9" w:rsidP="00E372A9">
      <w:pPr>
        <w:spacing w:line="240" w:lineRule="auto"/>
        <w:rPr>
          <w:rFonts w:asciiTheme="majorBidi" w:hAnsiTheme="majorBidi" w:cstheme="majorBidi"/>
          <w:lang w:bidi="ar-SA"/>
        </w:rPr>
      </w:pPr>
      <w:r w:rsidRPr="00E372A9">
        <w:rPr>
          <w:rFonts w:asciiTheme="majorBidi" w:hAnsiTheme="majorBidi" w:cstheme="majorBidi"/>
          <w:lang w:bidi="ar-SA"/>
        </w:rPr>
        <w:t xml:space="preserve">      4- sachant que la pression osmotique du cylindre central est 0.9atm, déterminez le mécanisme de transport responsable du transit des sels minéraux du parenchyme jusqu’au cylindre central.</w:t>
      </w:r>
    </w:p>
    <w:p w:rsidR="006D1A72" w:rsidRDefault="006D1A72" w:rsidP="003D6934">
      <w:pPr>
        <w:pStyle w:val="Paragraphedeliste"/>
        <w:jc w:val="both"/>
      </w:pPr>
    </w:p>
    <w:p w:rsidR="006D1A72" w:rsidRDefault="006D1A72" w:rsidP="004B2A08">
      <w:pPr>
        <w:jc w:val="both"/>
      </w:pPr>
    </w:p>
    <w:p w:rsidR="006D1A72" w:rsidRDefault="006D1A72" w:rsidP="003D6934">
      <w:pPr>
        <w:pStyle w:val="Paragraphedeliste"/>
        <w:jc w:val="both"/>
      </w:pPr>
    </w:p>
    <w:p w:rsidR="006D1A72" w:rsidRPr="006D1A72" w:rsidRDefault="006D1A72" w:rsidP="006D1A72">
      <w:pPr>
        <w:pStyle w:val="Paragraphedeliste"/>
        <w:jc w:val="right"/>
        <w:rPr>
          <w:b/>
          <w:bCs/>
          <w:sz w:val="28"/>
          <w:szCs w:val="28"/>
        </w:rPr>
      </w:pPr>
      <w:r w:rsidRPr="006D1A72">
        <w:rPr>
          <w:b/>
          <w:bCs/>
          <w:sz w:val="28"/>
          <w:szCs w:val="28"/>
        </w:rPr>
        <w:t>Bon courage</w:t>
      </w:r>
    </w:p>
    <w:sectPr w:rsidR="006D1A72" w:rsidRPr="006D1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68DF"/>
    <w:multiLevelType w:val="hybridMultilevel"/>
    <w:tmpl w:val="0ADCECE4"/>
    <w:lvl w:ilvl="0" w:tplc="364214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02AE1"/>
    <w:multiLevelType w:val="hybridMultilevel"/>
    <w:tmpl w:val="3AFE8C9E"/>
    <w:lvl w:ilvl="0" w:tplc="2256BC6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9729B"/>
    <w:multiLevelType w:val="hybridMultilevel"/>
    <w:tmpl w:val="F4D2E020"/>
    <w:lvl w:ilvl="0" w:tplc="A940AF12">
      <w:start w:val="1"/>
      <w:numFmt w:val="decimal"/>
      <w:lvlText w:val="%1-"/>
      <w:lvlJc w:val="left"/>
      <w:pPr>
        <w:ind w:left="720" w:hanging="360"/>
      </w:pPr>
      <w:rPr>
        <w:rFonts w:ascii="Helvetica" w:eastAsiaTheme="minorHAnsi" w:hAnsi="Helvetica" w:cs="Helvetica" w:hint="default"/>
        <w:color w:val="222222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714F1"/>
    <w:multiLevelType w:val="hybridMultilevel"/>
    <w:tmpl w:val="4178E41E"/>
    <w:lvl w:ilvl="0" w:tplc="040C0013">
      <w:start w:val="1"/>
      <w:numFmt w:val="upperRoman"/>
      <w:lvlText w:val="%1."/>
      <w:lvlJc w:val="right"/>
      <w:pPr>
        <w:ind w:left="1500" w:hanging="360"/>
      </w:pPr>
    </w:lvl>
    <w:lvl w:ilvl="1" w:tplc="040C0019" w:tentative="1">
      <w:start w:val="1"/>
      <w:numFmt w:val="lowerLetter"/>
      <w:lvlText w:val="%2."/>
      <w:lvlJc w:val="left"/>
      <w:pPr>
        <w:ind w:left="2220" w:hanging="360"/>
      </w:p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312A4E80"/>
    <w:multiLevelType w:val="hybridMultilevel"/>
    <w:tmpl w:val="CA280BD6"/>
    <w:lvl w:ilvl="0" w:tplc="7B1AFEC0">
      <w:start w:val="1"/>
      <w:numFmt w:val="upperRoman"/>
      <w:lvlText w:val="%1."/>
      <w:lvlJc w:val="right"/>
      <w:pPr>
        <w:ind w:left="780" w:hanging="360"/>
      </w:pPr>
      <w:rPr>
        <w:rFonts w:asciiTheme="majorBidi" w:hAnsiTheme="majorBidi" w:cstheme="majorBidi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3870053"/>
    <w:multiLevelType w:val="hybridMultilevel"/>
    <w:tmpl w:val="CA280BD6"/>
    <w:lvl w:ilvl="0" w:tplc="7B1AFEC0">
      <w:start w:val="1"/>
      <w:numFmt w:val="upperRoman"/>
      <w:lvlText w:val="%1."/>
      <w:lvlJc w:val="right"/>
      <w:pPr>
        <w:ind w:left="780" w:hanging="360"/>
      </w:pPr>
      <w:rPr>
        <w:rFonts w:asciiTheme="majorBidi" w:hAnsiTheme="majorBidi" w:cstheme="majorBidi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E434B56"/>
    <w:multiLevelType w:val="hybridMultilevel"/>
    <w:tmpl w:val="2E143E70"/>
    <w:lvl w:ilvl="0" w:tplc="A43620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F37D7"/>
    <w:multiLevelType w:val="hybridMultilevel"/>
    <w:tmpl w:val="0D0E5166"/>
    <w:lvl w:ilvl="0" w:tplc="F258D56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B498A"/>
    <w:multiLevelType w:val="hybridMultilevel"/>
    <w:tmpl w:val="3AFE8C9E"/>
    <w:lvl w:ilvl="0" w:tplc="2256BC6E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122"/>
    <w:rsid w:val="00076186"/>
    <w:rsid w:val="00250D07"/>
    <w:rsid w:val="0028601F"/>
    <w:rsid w:val="003255B4"/>
    <w:rsid w:val="00335955"/>
    <w:rsid w:val="003D6934"/>
    <w:rsid w:val="00424836"/>
    <w:rsid w:val="004B2A08"/>
    <w:rsid w:val="006D1A72"/>
    <w:rsid w:val="006F5961"/>
    <w:rsid w:val="00703447"/>
    <w:rsid w:val="0073460D"/>
    <w:rsid w:val="00810B8E"/>
    <w:rsid w:val="00853E1D"/>
    <w:rsid w:val="00974FEA"/>
    <w:rsid w:val="00A01834"/>
    <w:rsid w:val="00C30F78"/>
    <w:rsid w:val="00D17C6A"/>
    <w:rsid w:val="00E372A9"/>
    <w:rsid w:val="00E53122"/>
    <w:rsid w:val="00E9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054F8-A57C-DE44-880A-5513955D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122"/>
    <w:rPr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31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E5312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5955"/>
    <w:rPr>
      <w:rFonts w:ascii="Tahoma" w:hAnsi="Tahoma" w:cs="Tahoma"/>
      <w:sz w:val="16"/>
      <w:szCs w:val="16"/>
      <w:lang w:bidi="ar-MA"/>
    </w:rPr>
  </w:style>
  <w:style w:type="table" w:customStyle="1" w:styleId="Grilledutableau1">
    <w:name w:val="Grille du tableau1"/>
    <w:basedOn w:val="TableauNormal"/>
    <w:next w:val="Grilledutableau"/>
    <w:uiPriority w:val="59"/>
    <w:rsid w:val="0070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0B8E"/>
    <w:pPr>
      <w:autoSpaceDE w:val="0"/>
      <w:autoSpaceDN w:val="0"/>
      <w:adjustRightInd w:val="0"/>
      <w:spacing w:after="0" w:line="240" w:lineRule="auto"/>
    </w:pPr>
    <w:rPr>
      <w:rFonts w:ascii="Arabic Typesetting" w:hAnsi="Arabic Typesetting" w:cs="Arabic Typesetting"/>
      <w:color w:val="000000"/>
      <w:sz w:val="24"/>
      <w:szCs w:val="24"/>
    </w:rPr>
  </w:style>
  <w:style w:type="table" w:customStyle="1" w:styleId="Grilledutableau2">
    <w:name w:val="Grille du tableau2"/>
    <w:basedOn w:val="TableauNormal"/>
    <w:next w:val="Grilledutableau"/>
    <w:uiPriority w:val="39"/>
    <w:rsid w:val="00810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372A9"/>
    <w:pPr>
      <w:tabs>
        <w:tab w:val="center" w:pos="4536"/>
        <w:tab w:val="right" w:pos="9072"/>
      </w:tabs>
      <w:spacing w:after="0" w:line="240" w:lineRule="auto"/>
    </w:pPr>
    <w:rPr>
      <w:lang w:bidi="ar-SA"/>
    </w:rPr>
  </w:style>
  <w:style w:type="character" w:customStyle="1" w:styleId="En-tteCar">
    <w:name w:val="En-tête Car"/>
    <w:basedOn w:val="Policepardfaut"/>
    <w:link w:val="En-tte"/>
    <w:uiPriority w:val="99"/>
    <w:rsid w:val="00E37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Issam 1489. Hammal</dc:creator>
  <cp:lastModifiedBy>fatima elmaziani</cp:lastModifiedBy>
  <cp:revision>2</cp:revision>
  <dcterms:created xsi:type="dcterms:W3CDTF">2019-01-06T18:32:00Z</dcterms:created>
  <dcterms:modified xsi:type="dcterms:W3CDTF">2019-01-06T18:32:00Z</dcterms:modified>
</cp:coreProperties>
</file>