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C5" w:rsidRPr="007B4CF7" w:rsidRDefault="00F642C5" w:rsidP="00D1768D">
      <w:pPr>
        <w:spacing w:after="0"/>
        <w:jc w:val="center"/>
        <w:rPr>
          <w:rFonts w:ascii="Georgia" w:hAnsi="Georgia"/>
          <w:b/>
          <w:bCs/>
          <w:i/>
          <w:iCs/>
          <w:color w:val="FF0000"/>
          <w:sz w:val="38"/>
          <w:szCs w:val="38"/>
          <w:u w:val="single"/>
        </w:rPr>
      </w:pPr>
      <w:bookmarkStart w:id="0" w:name="_GoBack"/>
      <w:bookmarkEnd w:id="0"/>
      <w:r w:rsidRPr="007B4CF7">
        <w:rPr>
          <w:rFonts w:ascii="Georgia" w:hAnsi="Georgia"/>
          <w:b/>
          <w:bCs/>
          <w:i/>
          <w:iCs/>
          <w:color w:val="FF0000"/>
          <w:sz w:val="38"/>
          <w:szCs w:val="38"/>
          <w:u w:val="single"/>
        </w:rPr>
        <w:t>Chapitre quatre: Relations alimentaires et flux d'énergie au milieu</w:t>
      </w:r>
    </w:p>
    <w:p w:rsidR="00F642C5" w:rsidRPr="007B4CF7" w:rsidRDefault="00F642C5" w:rsidP="00D1768D">
      <w:pPr>
        <w:pStyle w:val="Paragraphedeliste"/>
        <w:numPr>
          <w:ilvl w:val="0"/>
          <w:numId w:val="2"/>
        </w:numPr>
        <w:spacing w:after="0"/>
        <w:rPr>
          <w:rFonts w:ascii="Georgia" w:hAnsi="Georgia"/>
          <w:b/>
          <w:bCs/>
          <w:i/>
          <w:iCs/>
          <w:sz w:val="34"/>
          <w:szCs w:val="34"/>
          <w:u w:val="single"/>
        </w:rPr>
      </w:pPr>
      <w:r w:rsidRPr="007B4CF7">
        <w:rPr>
          <w:rFonts w:ascii="Georgia" w:hAnsi="Georgia"/>
          <w:b/>
          <w:bCs/>
          <w:i/>
          <w:iCs/>
          <w:color w:val="1F497D" w:themeColor="text2"/>
          <w:sz w:val="34"/>
          <w:szCs w:val="34"/>
          <w:u w:val="single"/>
        </w:rPr>
        <w:t>Les relations alimentaires au milieu</w:t>
      </w:r>
    </w:p>
    <w:p w:rsidR="00F642C5" w:rsidRPr="007B4CF7" w:rsidRDefault="00D1768D" w:rsidP="00F642C5">
      <w:pPr>
        <w:spacing w:after="0"/>
        <w:rPr>
          <w:rFonts w:ascii="Georgia" w:hAnsi="Georgia"/>
          <w:b/>
          <w:bCs/>
          <w:i/>
          <w:iCs/>
          <w:sz w:val="26"/>
          <w:szCs w:val="26"/>
        </w:rPr>
      </w:pPr>
      <w:r w:rsidRPr="007B4CF7">
        <w:rPr>
          <w:rFonts w:ascii="Georgia" w:hAnsi="Georgia"/>
          <w:b/>
          <w:bCs/>
          <w:i/>
          <w:iCs/>
          <w:sz w:val="26"/>
          <w:szCs w:val="26"/>
        </w:rPr>
        <w:t>Introduction</w:t>
      </w:r>
    </w:p>
    <w:p w:rsidR="00F642C5" w:rsidRPr="007B4CF7" w:rsidRDefault="00F642C5" w:rsidP="00D1768D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 xml:space="preserve">Dans le milieu naturel, il existe des </w:t>
      </w:r>
      <w:r w:rsidR="00D1768D" w:rsidRPr="007B4CF7">
        <w:rPr>
          <w:rFonts w:ascii="Georgia" w:hAnsi="Georgia"/>
          <w:b/>
          <w:bCs/>
        </w:rPr>
        <w:t>êtres</w:t>
      </w:r>
      <w:r w:rsidRPr="007B4CF7">
        <w:rPr>
          <w:rFonts w:ascii="Georgia" w:hAnsi="Georgia"/>
          <w:b/>
          <w:bCs/>
        </w:rPr>
        <w:t xml:space="preserve"> vivants qui sont liés les uns aux autres par des relations nutritionnelles. Les plantes vertes produisent la matière organique qui forme leur nourriture et nourrit d'autres êtres herbivores, carnivores et </w:t>
      </w:r>
      <w:r w:rsidR="00D1768D" w:rsidRPr="007B4CF7">
        <w:rPr>
          <w:rFonts w:ascii="Georgia" w:hAnsi="Georgia"/>
          <w:b/>
          <w:bCs/>
        </w:rPr>
        <w:t>omnivores</w:t>
      </w:r>
      <w:r w:rsidRPr="007B4CF7">
        <w:rPr>
          <w:rFonts w:ascii="Georgia" w:hAnsi="Georgia"/>
          <w:b/>
          <w:bCs/>
        </w:rPr>
        <w:t>. Les herbivores sont mangés par les carnivores, et ces relations sont donc établies au milieu.</w:t>
      </w:r>
    </w:p>
    <w:p w:rsidR="00F642C5" w:rsidRPr="007B4CF7" w:rsidRDefault="00F642C5" w:rsidP="00F642C5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>Comment mettre en évidence ces relations nutritionnelles entre les organismes du milieu?</w:t>
      </w:r>
    </w:p>
    <w:p w:rsidR="00685C4E" w:rsidRPr="007B4CF7" w:rsidRDefault="00F642C5" w:rsidP="00F642C5">
      <w:pPr>
        <w:pStyle w:val="Paragraphedeliste"/>
        <w:numPr>
          <w:ilvl w:val="0"/>
          <w:numId w:val="1"/>
        </w:numPr>
        <w:spacing w:after="0"/>
        <w:rPr>
          <w:rFonts w:ascii="Georgia" w:hAnsi="Georgia"/>
          <w:b/>
          <w:bCs/>
          <w:sz w:val="30"/>
          <w:szCs w:val="30"/>
        </w:rPr>
      </w:pPr>
      <w:r w:rsidRPr="007B4CF7">
        <w:rPr>
          <w:rFonts w:ascii="Georgia" w:hAnsi="Georgia"/>
          <w:b/>
          <w:bCs/>
          <w:sz w:val="30"/>
          <w:szCs w:val="30"/>
        </w:rPr>
        <w:t>La chaîne alimentaire</w:t>
      </w:r>
    </w:p>
    <w:p w:rsidR="001265AE" w:rsidRPr="007B4CF7" w:rsidRDefault="001265AE" w:rsidP="00D1768D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 xml:space="preserve">La chaîne alimentaire est la relation nutritionnelle entre les </w:t>
      </w:r>
      <w:r w:rsidR="00D1768D" w:rsidRPr="007B4CF7">
        <w:rPr>
          <w:rFonts w:ascii="Georgia" w:hAnsi="Georgia"/>
          <w:b/>
          <w:bCs/>
        </w:rPr>
        <w:t>êtres</w:t>
      </w:r>
      <w:r w:rsidRPr="007B4CF7">
        <w:rPr>
          <w:rFonts w:ascii="Georgia" w:hAnsi="Georgia"/>
          <w:b/>
          <w:bCs/>
        </w:rPr>
        <w:t xml:space="preserve"> vivants dans le milieu et composée de trois éléments ou plus. La chaîne alimentaire commence toujours par les plantes</w:t>
      </w:r>
    </w:p>
    <w:p w:rsidR="001265AE" w:rsidRPr="007B4CF7" w:rsidRDefault="001265AE" w:rsidP="00D1768D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 xml:space="preserve">La flèche qui relie les </w:t>
      </w:r>
      <w:r w:rsidR="00D1768D" w:rsidRPr="007B4CF7">
        <w:rPr>
          <w:rFonts w:ascii="Georgia" w:hAnsi="Georgia"/>
          <w:b/>
          <w:bCs/>
        </w:rPr>
        <w:t>maillons</w:t>
      </w:r>
      <w:r w:rsidRPr="007B4CF7">
        <w:rPr>
          <w:rFonts w:ascii="Georgia" w:hAnsi="Georgia"/>
          <w:b/>
          <w:bCs/>
        </w:rPr>
        <w:t xml:space="preserve"> de la chaîne symbolise "mangé par"</w:t>
      </w:r>
    </w:p>
    <w:p w:rsidR="001265AE" w:rsidRDefault="001265AE" w:rsidP="001265AE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>Exemple: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17"/>
        <w:gridCol w:w="4971"/>
      </w:tblGrid>
      <w:tr w:rsidR="00C70D91" w:rsidTr="001827BC">
        <w:trPr>
          <w:trHeight w:val="4302"/>
        </w:trPr>
        <w:tc>
          <w:tcPr>
            <w:tcW w:w="6017" w:type="dxa"/>
          </w:tcPr>
          <w:p w:rsidR="00C70D91" w:rsidRDefault="001827BC" w:rsidP="001265AE">
            <w:pPr>
              <w:rPr>
                <w:rFonts w:ascii="Georgia" w:hAnsi="Georgia"/>
                <w:b/>
                <w:bCs/>
              </w:rPr>
            </w:pPr>
            <w:r>
              <w:object w:dxaOrig="7170" w:dyaOrig="5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9.5pt;height:208.5pt" o:ole="">
                  <v:imagedata r:id="rId6" o:title=""/>
                </v:shape>
                <o:OLEObject Type="Embed" ProgID="PBrush" ShapeID="_x0000_i1025" DrawAspect="Content" ObjectID="_1654697518" r:id="rId7"/>
              </w:object>
            </w:r>
          </w:p>
        </w:tc>
        <w:tc>
          <w:tcPr>
            <w:tcW w:w="4971" w:type="dxa"/>
          </w:tcPr>
          <w:p w:rsidR="00C70D91" w:rsidRDefault="001827BC" w:rsidP="001265AE">
            <w:pPr>
              <w:rPr>
                <w:rFonts w:ascii="Georgia" w:hAnsi="Georgia"/>
                <w:b/>
                <w:bCs/>
              </w:rPr>
            </w:pPr>
            <w:r>
              <w:object w:dxaOrig="6585" w:dyaOrig="2490">
                <v:shape id="_x0000_i1026" type="#_x0000_t75" style="width:237.75pt;height:206.25pt" o:ole="">
                  <v:imagedata r:id="rId8" o:title=""/>
                </v:shape>
                <o:OLEObject Type="Embed" ProgID="PBrush" ShapeID="_x0000_i1026" DrawAspect="Content" ObjectID="_1654697519" r:id="rId9"/>
              </w:object>
            </w:r>
          </w:p>
        </w:tc>
      </w:tr>
    </w:tbl>
    <w:p w:rsidR="001265AE" w:rsidRPr="007B4CF7" w:rsidRDefault="001265AE" w:rsidP="00D1768D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 xml:space="preserve">La plante verte de la chaîne alimentaire représente le </w:t>
      </w:r>
      <w:r w:rsidR="00D1768D" w:rsidRPr="007B4CF7">
        <w:rPr>
          <w:rFonts w:ascii="Georgia" w:hAnsi="Georgia"/>
          <w:b/>
          <w:bCs/>
        </w:rPr>
        <w:t xml:space="preserve">producteur </w:t>
      </w:r>
      <w:proofErr w:type="gramStart"/>
      <w:r w:rsidR="00D1768D" w:rsidRPr="007B4CF7">
        <w:rPr>
          <w:rFonts w:ascii="Georgia" w:hAnsi="Georgia"/>
          <w:b/>
          <w:bCs/>
        </w:rPr>
        <w:t>( P</w:t>
      </w:r>
      <w:proofErr w:type="gramEnd"/>
      <w:r w:rsidR="00D1768D" w:rsidRPr="007B4CF7">
        <w:rPr>
          <w:rFonts w:ascii="Georgia" w:hAnsi="Georgia"/>
          <w:b/>
          <w:bCs/>
        </w:rPr>
        <w:t>)</w:t>
      </w:r>
      <w:r w:rsidRPr="007B4CF7">
        <w:rPr>
          <w:rFonts w:ascii="Georgia" w:hAnsi="Georgia"/>
          <w:b/>
          <w:bCs/>
        </w:rPr>
        <w:t xml:space="preserve"> et les herbivores de la chaîne constituent le premier consommateur</w:t>
      </w:r>
      <w:r w:rsidR="00D1768D" w:rsidRPr="007B4CF7">
        <w:rPr>
          <w:rFonts w:ascii="Georgia" w:hAnsi="Georgia"/>
          <w:b/>
          <w:bCs/>
        </w:rPr>
        <w:t>(C1)</w:t>
      </w:r>
      <w:r w:rsidRPr="007B4CF7">
        <w:rPr>
          <w:rFonts w:ascii="Georgia" w:hAnsi="Georgia"/>
          <w:b/>
          <w:bCs/>
        </w:rPr>
        <w:t>, tandis que les carnivores sont considérés comme les consommateurs de deuxième</w:t>
      </w:r>
      <w:r w:rsidR="00D1768D" w:rsidRPr="007B4CF7">
        <w:rPr>
          <w:rFonts w:ascii="Georgia" w:hAnsi="Georgia"/>
          <w:b/>
          <w:bCs/>
        </w:rPr>
        <w:t>(C2)</w:t>
      </w:r>
      <w:r w:rsidRPr="007B4CF7">
        <w:rPr>
          <w:rFonts w:ascii="Georgia" w:hAnsi="Georgia"/>
          <w:b/>
          <w:bCs/>
        </w:rPr>
        <w:t xml:space="preserve"> et troisième</w:t>
      </w:r>
      <w:r w:rsidR="00D1768D" w:rsidRPr="007B4CF7">
        <w:rPr>
          <w:rFonts w:ascii="Georgia" w:hAnsi="Georgia"/>
          <w:b/>
          <w:bCs/>
        </w:rPr>
        <w:t>(C3)</w:t>
      </w:r>
      <w:r w:rsidRPr="007B4CF7">
        <w:rPr>
          <w:rFonts w:ascii="Georgia" w:hAnsi="Georgia"/>
          <w:b/>
          <w:bCs/>
        </w:rPr>
        <w:t xml:space="preserve"> classe ......</w:t>
      </w:r>
    </w:p>
    <w:p w:rsidR="001265AE" w:rsidRPr="007B4CF7" w:rsidRDefault="001265AE" w:rsidP="001265AE">
      <w:pPr>
        <w:spacing w:after="0"/>
        <w:rPr>
          <w:rFonts w:ascii="Georgia" w:hAnsi="Georgia"/>
          <w:b/>
          <w:bCs/>
          <w:sz w:val="30"/>
          <w:szCs w:val="30"/>
        </w:rPr>
      </w:pPr>
      <w:r w:rsidRPr="007B4CF7">
        <w:rPr>
          <w:rFonts w:ascii="Georgia" w:hAnsi="Georgia"/>
          <w:b/>
          <w:bCs/>
          <w:sz w:val="30"/>
          <w:szCs w:val="30"/>
        </w:rPr>
        <w:t>2- Le réseau trophique</w:t>
      </w:r>
    </w:p>
    <w:p w:rsidR="001265AE" w:rsidRPr="007B4CF7" w:rsidRDefault="001265AE" w:rsidP="001265AE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>Le réseau trophique est constitué d'un groupe de chaînes alimentaires interférant les unes avec les autres</w:t>
      </w:r>
    </w:p>
    <w:p w:rsidR="001265AE" w:rsidRDefault="001265AE" w:rsidP="001265AE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>Exemple:</w:t>
      </w:r>
    </w:p>
    <w:p w:rsidR="00B87561" w:rsidRPr="007B4CF7" w:rsidRDefault="00B87561" w:rsidP="001265AE">
      <w:pPr>
        <w:spacing w:after="0"/>
        <w:rPr>
          <w:rFonts w:ascii="Georgia" w:hAnsi="Georgia"/>
          <w:b/>
          <w:bCs/>
        </w:rPr>
      </w:pPr>
      <w:r>
        <w:rPr>
          <w:rFonts w:ascii="Georgia" w:hAnsi="Georgia"/>
          <w:b/>
          <w:bCs/>
          <w:noProof/>
          <w:lang w:eastAsia="fr-FR"/>
        </w:rPr>
        <w:drawing>
          <wp:inline distT="0" distB="0" distL="0" distR="0">
            <wp:extent cx="6638925" cy="26003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AE" w:rsidRPr="007B4CF7" w:rsidRDefault="001265AE" w:rsidP="00D1768D">
      <w:pPr>
        <w:pStyle w:val="Paragraphedeliste"/>
        <w:numPr>
          <w:ilvl w:val="0"/>
          <w:numId w:val="2"/>
        </w:numPr>
        <w:spacing w:after="0"/>
        <w:rPr>
          <w:rFonts w:ascii="Georgia" w:hAnsi="Georgia"/>
          <w:b/>
          <w:bCs/>
          <w:i/>
          <w:iCs/>
          <w:color w:val="1F497D" w:themeColor="text2"/>
          <w:sz w:val="34"/>
          <w:szCs w:val="34"/>
          <w:u w:val="single"/>
        </w:rPr>
      </w:pPr>
      <w:r w:rsidRPr="007B4CF7">
        <w:rPr>
          <w:rFonts w:ascii="Georgia" w:hAnsi="Georgia"/>
          <w:b/>
          <w:bCs/>
          <w:i/>
          <w:iCs/>
          <w:color w:val="1F497D" w:themeColor="text2"/>
          <w:sz w:val="34"/>
          <w:szCs w:val="34"/>
          <w:u w:val="single"/>
        </w:rPr>
        <w:lastRenderedPageBreak/>
        <w:t>Production de matière et flux d'énergie</w:t>
      </w:r>
    </w:p>
    <w:p w:rsidR="001265AE" w:rsidRPr="007B4CF7" w:rsidRDefault="001265AE" w:rsidP="00D1768D">
      <w:pPr>
        <w:spacing w:after="0"/>
        <w:rPr>
          <w:rFonts w:ascii="Georgia" w:hAnsi="Georgia"/>
          <w:b/>
          <w:bCs/>
          <w:sz w:val="30"/>
          <w:szCs w:val="30"/>
        </w:rPr>
      </w:pPr>
      <w:r w:rsidRPr="007B4CF7">
        <w:rPr>
          <w:rFonts w:ascii="Georgia" w:hAnsi="Georgia"/>
          <w:b/>
          <w:bCs/>
          <w:sz w:val="30"/>
          <w:szCs w:val="30"/>
        </w:rPr>
        <w:t xml:space="preserve">1- Les </w:t>
      </w:r>
      <w:r w:rsidR="00D1768D" w:rsidRPr="007B4CF7">
        <w:rPr>
          <w:rFonts w:ascii="Georgia" w:hAnsi="Georgia"/>
          <w:b/>
          <w:bCs/>
          <w:sz w:val="30"/>
          <w:szCs w:val="30"/>
        </w:rPr>
        <w:t>êtres</w:t>
      </w:r>
      <w:r w:rsidRPr="007B4CF7">
        <w:rPr>
          <w:rFonts w:ascii="Georgia" w:hAnsi="Georgia"/>
          <w:b/>
          <w:bCs/>
          <w:sz w:val="30"/>
          <w:szCs w:val="30"/>
        </w:rPr>
        <w:t xml:space="preserve"> vivants produisent de la matière</w:t>
      </w:r>
    </w:p>
    <w:p w:rsidR="00F642C5" w:rsidRPr="007B4CF7" w:rsidRDefault="001265AE" w:rsidP="00D1768D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 xml:space="preserve">Les </w:t>
      </w:r>
      <w:r w:rsidR="00D1768D" w:rsidRPr="007B4CF7">
        <w:rPr>
          <w:rFonts w:ascii="Georgia" w:hAnsi="Georgia"/>
          <w:b/>
          <w:bCs/>
        </w:rPr>
        <w:t xml:space="preserve">êtres </w:t>
      </w:r>
      <w:r w:rsidRPr="007B4CF7">
        <w:rPr>
          <w:rFonts w:ascii="Georgia" w:hAnsi="Georgia"/>
          <w:b/>
          <w:bCs/>
        </w:rPr>
        <w:t>vivants consomment un groupe d'aliments pour survivre et grandir, ce qui les rend capables de produire leur matière organique. Ainsi, il est à noter que le volume de nourriture consommée dépasse la quantité de matière produite en raison de la perte que cette substance définit lors du passage d'un organisme à un autre, ainsi que de la présence d'un groupe de processus qui affectent cette substance avec préférences et désintégration La matière organique pour donner du dioxyde de carbone</w:t>
      </w:r>
    </w:p>
    <w:p w:rsidR="003A1437" w:rsidRPr="007B4CF7" w:rsidRDefault="003A1437" w:rsidP="003A1437">
      <w:pPr>
        <w:spacing w:after="0"/>
        <w:rPr>
          <w:rFonts w:ascii="Georgia" w:hAnsi="Georgia"/>
          <w:b/>
          <w:bCs/>
          <w:sz w:val="30"/>
          <w:szCs w:val="30"/>
        </w:rPr>
      </w:pPr>
      <w:r w:rsidRPr="007B4CF7">
        <w:rPr>
          <w:rFonts w:ascii="Georgia" w:hAnsi="Georgia"/>
          <w:b/>
          <w:bCs/>
          <w:sz w:val="30"/>
          <w:szCs w:val="30"/>
        </w:rPr>
        <w:t>2- Flux d'énergie et de matière</w:t>
      </w:r>
    </w:p>
    <w:p w:rsidR="003A1437" w:rsidRDefault="003A1437" w:rsidP="003A1437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>On constate au cours d'une chaîne alimentaire que l'énergie est transférée d'un niveau à un autre, et lors de sa transmission, une partie de celle-ci est perdue lors du transfert de matière d'un niveau à un autre et une partie est perdue.</w:t>
      </w:r>
    </w:p>
    <w:p w:rsidR="00D03F7E" w:rsidRPr="007B4CF7" w:rsidRDefault="00D03F7E" w:rsidP="003A1437">
      <w:pPr>
        <w:spacing w:after="0"/>
        <w:rPr>
          <w:rFonts w:ascii="Georgia" w:hAnsi="Georgia"/>
          <w:b/>
          <w:bCs/>
        </w:rPr>
      </w:pPr>
      <w:r>
        <w:rPr>
          <w:rFonts w:ascii="Georgia" w:hAnsi="Georgia"/>
          <w:b/>
          <w:bCs/>
          <w:noProof/>
          <w:lang w:eastAsia="fr-FR"/>
        </w:rPr>
        <w:drawing>
          <wp:inline distT="0" distB="0" distL="0" distR="0" wp14:anchorId="23B20C62" wp14:editId="0091E18C">
            <wp:extent cx="6800850" cy="2990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37" w:rsidRPr="007B4CF7" w:rsidRDefault="003A1437" w:rsidP="003A1437">
      <w:pPr>
        <w:spacing w:after="0"/>
        <w:rPr>
          <w:rFonts w:ascii="Georgia" w:hAnsi="Georgia"/>
          <w:b/>
          <w:bCs/>
          <w:sz w:val="30"/>
          <w:szCs w:val="30"/>
        </w:rPr>
      </w:pPr>
      <w:r w:rsidRPr="007B4CF7">
        <w:rPr>
          <w:rFonts w:ascii="Georgia" w:hAnsi="Georgia"/>
          <w:b/>
          <w:bCs/>
          <w:sz w:val="30"/>
          <w:szCs w:val="30"/>
        </w:rPr>
        <w:t>3- La pyramide alimentaire</w:t>
      </w:r>
    </w:p>
    <w:p w:rsidR="001265AE" w:rsidRDefault="003A1437" w:rsidP="00462438">
      <w:pPr>
        <w:spacing w:after="0"/>
        <w:rPr>
          <w:rFonts w:ascii="Georgia" w:hAnsi="Georgia"/>
          <w:b/>
          <w:bCs/>
        </w:rPr>
      </w:pPr>
      <w:r w:rsidRPr="007B4CF7">
        <w:rPr>
          <w:rFonts w:ascii="Georgia" w:hAnsi="Georgia"/>
          <w:b/>
          <w:bCs/>
        </w:rPr>
        <w:t xml:space="preserve">La pyramide alimentaire se compose des éléments de la chaîne alimentaire où les plantes vertes représentent la base de la pyramide </w:t>
      </w:r>
      <w:r w:rsidR="007B4CF7" w:rsidRPr="007B4CF7">
        <w:rPr>
          <w:rFonts w:ascii="Georgia" w:hAnsi="Georgia"/>
          <w:b/>
          <w:bCs/>
        </w:rPr>
        <w:t xml:space="preserve">considérées comme </w:t>
      </w:r>
      <w:r w:rsidRPr="007B4CF7">
        <w:rPr>
          <w:rFonts w:ascii="Georgia" w:hAnsi="Georgia"/>
          <w:b/>
          <w:bCs/>
        </w:rPr>
        <w:t xml:space="preserve"> </w:t>
      </w:r>
      <w:r w:rsidR="007B4CF7" w:rsidRPr="007B4CF7">
        <w:rPr>
          <w:rFonts w:ascii="Georgia" w:hAnsi="Georgia"/>
          <w:b/>
          <w:bCs/>
        </w:rPr>
        <w:t>Producteurs</w:t>
      </w:r>
      <w:r w:rsidRPr="007B4CF7">
        <w:rPr>
          <w:rFonts w:ascii="Georgia" w:hAnsi="Georgia"/>
          <w:b/>
          <w:bCs/>
        </w:rPr>
        <w:t xml:space="preserve"> et le nombre de ses membres sont nombreux, suivis des herbivores en tant que premier consommateur car le nombre de leurs membres est inférieur </w:t>
      </w:r>
      <w:r w:rsidR="007B4CF7" w:rsidRPr="007B4CF7">
        <w:rPr>
          <w:rFonts w:ascii="Georgia" w:hAnsi="Georgia"/>
          <w:b/>
          <w:bCs/>
        </w:rPr>
        <w:t>aux producteurs</w:t>
      </w:r>
      <w:r w:rsidRPr="007B4CF7">
        <w:rPr>
          <w:rFonts w:ascii="Georgia" w:hAnsi="Georgia"/>
          <w:b/>
          <w:bCs/>
        </w:rPr>
        <w:t xml:space="preserve">, puis les carnivores viennent en petit nombre pour former le deuxième ou le troisième consommateur ... jusqu'au sommet de la pyramide, Tout cela indique le flux de matière et d'énergie </w:t>
      </w:r>
      <w:r w:rsidR="00462438">
        <w:rPr>
          <w:rFonts w:ascii="Georgia" w:hAnsi="Georgia"/>
          <w:b/>
          <w:bCs/>
        </w:rPr>
        <w:t xml:space="preserve">prend </w:t>
      </w:r>
      <w:r w:rsidRPr="007B4CF7">
        <w:rPr>
          <w:rFonts w:ascii="Georgia" w:hAnsi="Georgia"/>
          <w:b/>
          <w:bCs/>
        </w:rPr>
        <w:t xml:space="preserve"> sa diminution d'un niveau à l'autre</w:t>
      </w:r>
    </w:p>
    <w:p w:rsidR="00C70D91" w:rsidRDefault="00C70D91" w:rsidP="007B4CF7">
      <w:pPr>
        <w:spacing w:after="0"/>
        <w:rPr>
          <w:rFonts w:ascii="Georgia" w:hAnsi="Georgia"/>
          <w:b/>
          <w:bCs/>
        </w:rPr>
      </w:pPr>
      <w:r>
        <w:rPr>
          <w:rFonts w:ascii="Georgia" w:hAnsi="Georgia"/>
          <w:b/>
          <w:bCs/>
          <w:noProof/>
          <w:lang w:eastAsia="fr-FR"/>
        </w:rPr>
        <w:drawing>
          <wp:inline distT="0" distB="0" distL="0" distR="0">
            <wp:extent cx="6800850" cy="28670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E4" w:rsidRPr="00BF73E4" w:rsidRDefault="00BF73E4" w:rsidP="007B4CF7">
      <w:pPr>
        <w:spacing w:after="0"/>
        <w:rPr>
          <w:rFonts w:ascii="Georgia" w:hAnsi="Georgia"/>
          <w:b/>
          <w:bCs/>
          <w:i/>
          <w:iCs/>
          <w:sz w:val="30"/>
          <w:szCs w:val="30"/>
        </w:rPr>
      </w:pPr>
      <w:r w:rsidRPr="00BF73E4">
        <w:rPr>
          <w:rFonts w:ascii="Georgia" w:hAnsi="Georgia"/>
          <w:b/>
          <w:bCs/>
          <w:i/>
          <w:iCs/>
          <w:sz w:val="30"/>
          <w:szCs w:val="30"/>
        </w:rPr>
        <w:lastRenderedPageBreak/>
        <w:t>4 – Différents types de pyramides</w:t>
      </w:r>
    </w:p>
    <w:p w:rsidR="00492B56" w:rsidRDefault="00492B56" w:rsidP="007B4CF7">
      <w:pPr>
        <w:spacing w:after="0"/>
        <w:rPr>
          <w:rFonts w:ascii="Georgia" w:hAnsi="Georgia"/>
          <w:b/>
          <w:bCs/>
        </w:rPr>
      </w:pPr>
      <w:r>
        <w:rPr>
          <w:rFonts w:ascii="Georgia" w:hAnsi="Georgia"/>
          <w:b/>
          <w:bCs/>
          <w:noProof/>
          <w:lang w:eastAsia="fr-FR"/>
        </w:rPr>
        <w:drawing>
          <wp:inline distT="0" distB="0" distL="0" distR="0">
            <wp:extent cx="6838950" cy="35147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C6" w:rsidRDefault="006B49C6" w:rsidP="007B4CF7">
      <w:pPr>
        <w:spacing w:after="0"/>
        <w:rPr>
          <w:rFonts w:ascii="Georgia" w:hAnsi="Georgia"/>
          <w:b/>
          <w:bCs/>
        </w:rPr>
      </w:pPr>
      <w:r>
        <w:rPr>
          <w:rFonts w:ascii="Georgia" w:hAnsi="Georgia"/>
          <w:b/>
          <w:bCs/>
          <w:noProof/>
          <w:lang w:eastAsia="fr-FR"/>
        </w:rPr>
        <w:drawing>
          <wp:inline distT="0" distB="0" distL="0" distR="0">
            <wp:extent cx="6829425" cy="27432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C6" w:rsidRDefault="006B49C6" w:rsidP="006B49C6">
      <w:pPr>
        <w:spacing w:after="0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>Exemples de pyramides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2"/>
        <w:gridCol w:w="3796"/>
        <w:gridCol w:w="3840"/>
      </w:tblGrid>
      <w:tr w:rsidR="006B49C6" w:rsidTr="00562A69">
        <w:trPr>
          <w:trHeight w:val="2672"/>
        </w:trPr>
        <w:tc>
          <w:tcPr>
            <w:tcW w:w="3637" w:type="dxa"/>
          </w:tcPr>
          <w:p w:rsidR="006B49C6" w:rsidRDefault="00562A69" w:rsidP="006B49C6">
            <w:pPr>
              <w:rPr>
                <w:rFonts w:ascii="Georgia" w:hAnsi="Georgia"/>
                <w:b/>
                <w:bCs/>
              </w:rPr>
            </w:pPr>
            <w:r>
              <w:object w:dxaOrig="4290" w:dyaOrig="2865">
                <v:shape id="_x0000_i1027" type="#_x0000_t75" style="width:158.25pt;height:120.75pt" o:ole="">
                  <v:imagedata r:id="rId15" o:title=""/>
                </v:shape>
                <o:OLEObject Type="Embed" ProgID="PBrush" ShapeID="_x0000_i1027" DrawAspect="Content" ObjectID="_1654697520" r:id="rId16"/>
              </w:object>
            </w:r>
          </w:p>
        </w:tc>
        <w:tc>
          <w:tcPr>
            <w:tcW w:w="3637" w:type="dxa"/>
          </w:tcPr>
          <w:p w:rsidR="006B49C6" w:rsidRDefault="00562A69" w:rsidP="006B49C6">
            <w:pPr>
              <w:rPr>
                <w:rFonts w:ascii="Georgia" w:hAnsi="Georgia"/>
                <w:b/>
                <w:bCs/>
              </w:rPr>
            </w:pPr>
            <w:r>
              <w:object w:dxaOrig="6480" w:dyaOrig="2715">
                <v:shape id="_x0000_i1028" type="#_x0000_t75" style="width:180.75pt;height:119.25pt" o:ole="">
                  <v:imagedata r:id="rId17" o:title=""/>
                </v:shape>
                <o:OLEObject Type="Embed" ProgID="PBrush" ShapeID="_x0000_i1028" DrawAspect="Content" ObjectID="_1654697521" r:id="rId18"/>
              </w:object>
            </w:r>
          </w:p>
        </w:tc>
        <w:tc>
          <w:tcPr>
            <w:tcW w:w="3638" w:type="dxa"/>
          </w:tcPr>
          <w:p w:rsidR="006B49C6" w:rsidRDefault="00562A69" w:rsidP="006B49C6">
            <w:pPr>
              <w:rPr>
                <w:rFonts w:ascii="Georgia" w:hAnsi="Georgia"/>
                <w:b/>
                <w:bCs/>
              </w:rPr>
            </w:pPr>
            <w:r>
              <w:object w:dxaOrig="5520" w:dyaOrig="3705">
                <v:shape id="_x0000_i1029" type="#_x0000_t75" style="width:183pt;height:124.5pt" o:ole="">
                  <v:imagedata r:id="rId19" o:title=""/>
                </v:shape>
                <o:OLEObject Type="Embed" ProgID="PBrush" ShapeID="_x0000_i1029" DrawAspect="Content" ObjectID="_1654697522" r:id="rId20"/>
              </w:object>
            </w:r>
          </w:p>
        </w:tc>
      </w:tr>
    </w:tbl>
    <w:p w:rsidR="006B49C6" w:rsidRPr="007B4CF7" w:rsidRDefault="006B49C6" w:rsidP="006B49C6">
      <w:pPr>
        <w:spacing w:after="0"/>
        <w:rPr>
          <w:rFonts w:ascii="Georgia" w:hAnsi="Georgia"/>
          <w:b/>
          <w:bCs/>
        </w:rPr>
      </w:pPr>
    </w:p>
    <w:sectPr w:rsidR="006B49C6" w:rsidRPr="007B4CF7" w:rsidSect="00F642C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F1331"/>
    <w:multiLevelType w:val="hybridMultilevel"/>
    <w:tmpl w:val="B3C06BD6"/>
    <w:lvl w:ilvl="0" w:tplc="7A602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05104A"/>
    <w:multiLevelType w:val="hybridMultilevel"/>
    <w:tmpl w:val="1E9813FE"/>
    <w:lvl w:ilvl="0" w:tplc="F230DEC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2C5"/>
    <w:rsid w:val="001265AE"/>
    <w:rsid w:val="001827BC"/>
    <w:rsid w:val="002275E6"/>
    <w:rsid w:val="002441C2"/>
    <w:rsid w:val="002D01B2"/>
    <w:rsid w:val="003A1437"/>
    <w:rsid w:val="00462438"/>
    <w:rsid w:val="00492B56"/>
    <w:rsid w:val="004D7F1B"/>
    <w:rsid w:val="00562A69"/>
    <w:rsid w:val="00685C4E"/>
    <w:rsid w:val="006B49C6"/>
    <w:rsid w:val="007B4CF7"/>
    <w:rsid w:val="007C24C1"/>
    <w:rsid w:val="00B37869"/>
    <w:rsid w:val="00B87561"/>
    <w:rsid w:val="00B941F4"/>
    <w:rsid w:val="00BF73E4"/>
    <w:rsid w:val="00C70D91"/>
    <w:rsid w:val="00D03F7E"/>
    <w:rsid w:val="00D1768D"/>
    <w:rsid w:val="00F6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2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9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2B5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B4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2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9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2B5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B4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www.zik2ma.com</dc:creator>
  <cp:keywords/>
  <dc:description/>
  <cp:lastModifiedBy>www.zik2ma.com</cp:lastModifiedBy>
  <cp:revision>2</cp:revision>
  <dcterms:created xsi:type="dcterms:W3CDTF">2020-06-26T15:26:00Z</dcterms:created>
  <dcterms:modified xsi:type="dcterms:W3CDTF">2020-06-26T15:26:00Z</dcterms:modified>
</cp:coreProperties>
</file>